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8D" w:rsidRDefault="00DF0D80" w:rsidP="0097758D">
      <w:pPr>
        <w:jc w:val="center"/>
        <w:rPr>
          <w:rFonts w:ascii="Times New Roman" w:hAnsi="Times New Roman" w:cs="Times New Roman"/>
          <w:b/>
          <w:sz w:val="28"/>
          <w:szCs w:val="28"/>
        </w:rPr>
      </w:pPr>
      <w:r>
        <w:rPr>
          <w:rFonts w:ascii="Times New Roman" w:hAnsi="Times New Roman" w:cs="Times New Roman"/>
          <w:b/>
          <w:sz w:val="28"/>
          <w:szCs w:val="28"/>
        </w:rPr>
        <w:t xml:space="preserve">[Cập nhật] </w:t>
      </w:r>
      <w:r w:rsidR="0097758D">
        <w:rPr>
          <w:rFonts w:ascii="Times New Roman" w:hAnsi="Times New Roman" w:cs="Times New Roman"/>
          <w:b/>
          <w:sz w:val="28"/>
          <w:szCs w:val="28"/>
        </w:rPr>
        <w:t>V</w:t>
      </w:r>
      <w:r w:rsidRPr="00DF0D80">
        <w:rPr>
          <w:rFonts w:ascii="Times New Roman" w:hAnsi="Times New Roman" w:cs="Times New Roman"/>
          <w:b/>
          <w:sz w:val="28"/>
          <w:szCs w:val="28"/>
        </w:rPr>
        <w:t xml:space="preserve">ăn bản hướng dẫn </w:t>
      </w:r>
      <w:r>
        <w:rPr>
          <w:rFonts w:ascii="Times New Roman" w:hAnsi="Times New Roman" w:cs="Times New Roman"/>
          <w:b/>
          <w:sz w:val="28"/>
          <w:szCs w:val="28"/>
        </w:rPr>
        <w:t>Bộ luật Dân sự 2015</w:t>
      </w:r>
      <w:r w:rsidRPr="00DF0D80">
        <w:rPr>
          <w:rFonts w:ascii="Times New Roman" w:hAnsi="Times New Roman" w:cs="Times New Roman"/>
          <w:b/>
          <w:sz w:val="28"/>
          <w:szCs w:val="28"/>
        </w:rPr>
        <w:t xml:space="preserve"> </w:t>
      </w:r>
    </w:p>
    <w:p w:rsidR="00DF0D80" w:rsidRPr="0097758D" w:rsidRDefault="0097758D" w:rsidP="0097758D">
      <w:pPr>
        <w:jc w:val="right"/>
        <w:rPr>
          <w:rFonts w:ascii="Times New Roman" w:hAnsi="Times New Roman" w:cs="Times New Roman"/>
          <w:i/>
          <w:sz w:val="28"/>
          <w:szCs w:val="28"/>
        </w:rPr>
      </w:pPr>
      <w:r w:rsidRPr="0097758D">
        <w:rPr>
          <w:rFonts w:ascii="Times New Roman" w:hAnsi="Times New Roman" w:cs="Times New Roman"/>
          <w:i/>
          <w:sz w:val="28"/>
          <w:szCs w:val="28"/>
        </w:rPr>
        <w:t>(Cập nhật đến ngày 17/9/2024)</w:t>
      </w:r>
    </w:p>
    <w:tbl>
      <w:tblPr>
        <w:tblStyle w:val="TableGrid"/>
        <w:tblW w:w="0" w:type="auto"/>
        <w:tblLook w:val="04A0" w:firstRow="1" w:lastRow="0" w:firstColumn="1" w:lastColumn="0" w:noHBand="0" w:noVBand="1"/>
      </w:tblPr>
      <w:tblGrid>
        <w:gridCol w:w="1112"/>
        <w:gridCol w:w="3513"/>
        <w:gridCol w:w="1492"/>
        <w:gridCol w:w="1492"/>
        <w:gridCol w:w="1741"/>
      </w:tblGrid>
      <w:tr w:rsidR="00DF0D80" w:rsidRPr="00DF0D80" w:rsidTr="00DF0D80">
        <w:tc>
          <w:tcPr>
            <w:tcW w:w="1112" w:type="dxa"/>
            <w:shd w:val="clear" w:color="auto" w:fill="FFF2CC" w:themeFill="accent4" w:themeFillTint="33"/>
          </w:tcPr>
          <w:p w:rsidR="00DF0D80" w:rsidRPr="00DF0D80" w:rsidRDefault="00DF0D80" w:rsidP="00DF0D80">
            <w:pPr>
              <w:jc w:val="center"/>
              <w:rPr>
                <w:rFonts w:ascii="Times New Roman" w:hAnsi="Times New Roman" w:cs="Times New Roman"/>
                <w:b/>
                <w:sz w:val="28"/>
                <w:szCs w:val="28"/>
              </w:rPr>
            </w:pPr>
            <w:r w:rsidRPr="00DF0D80">
              <w:rPr>
                <w:rFonts w:ascii="Times New Roman" w:hAnsi="Times New Roman" w:cs="Times New Roman"/>
                <w:b/>
                <w:sz w:val="28"/>
                <w:szCs w:val="28"/>
              </w:rPr>
              <w:t>STT</w:t>
            </w:r>
          </w:p>
        </w:tc>
        <w:tc>
          <w:tcPr>
            <w:tcW w:w="3513" w:type="dxa"/>
            <w:shd w:val="clear" w:color="auto" w:fill="FFF2CC" w:themeFill="accent4" w:themeFillTint="33"/>
          </w:tcPr>
          <w:p w:rsidR="00DF0D80" w:rsidRPr="00DF0D80" w:rsidRDefault="00DF0D80" w:rsidP="00DF0D80">
            <w:pPr>
              <w:jc w:val="center"/>
              <w:rPr>
                <w:rFonts w:ascii="Times New Roman" w:hAnsi="Times New Roman" w:cs="Times New Roman"/>
                <w:b/>
                <w:sz w:val="28"/>
                <w:szCs w:val="28"/>
              </w:rPr>
            </w:pPr>
            <w:r w:rsidRPr="00DF0D80">
              <w:rPr>
                <w:rFonts w:ascii="Times New Roman" w:hAnsi="Times New Roman" w:cs="Times New Roman"/>
                <w:b/>
                <w:sz w:val="28"/>
                <w:szCs w:val="28"/>
              </w:rPr>
              <w:t>Văn bản</w:t>
            </w:r>
          </w:p>
        </w:tc>
        <w:tc>
          <w:tcPr>
            <w:tcW w:w="1492" w:type="dxa"/>
            <w:shd w:val="clear" w:color="auto" w:fill="FFF2CC" w:themeFill="accent4" w:themeFillTint="33"/>
          </w:tcPr>
          <w:p w:rsidR="00DF0D80" w:rsidRPr="00DF0D80" w:rsidRDefault="00DF0D80" w:rsidP="00DF0D80">
            <w:pPr>
              <w:jc w:val="center"/>
              <w:rPr>
                <w:rFonts w:ascii="Times New Roman" w:hAnsi="Times New Roman" w:cs="Times New Roman"/>
                <w:b/>
                <w:sz w:val="28"/>
                <w:szCs w:val="28"/>
              </w:rPr>
            </w:pPr>
            <w:r w:rsidRPr="00DF0D80">
              <w:rPr>
                <w:rFonts w:ascii="Times New Roman" w:hAnsi="Times New Roman" w:cs="Times New Roman"/>
                <w:b/>
                <w:sz w:val="28"/>
                <w:szCs w:val="28"/>
              </w:rPr>
              <w:t>Ngày ban hành</w:t>
            </w:r>
          </w:p>
        </w:tc>
        <w:tc>
          <w:tcPr>
            <w:tcW w:w="1492" w:type="dxa"/>
            <w:shd w:val="clear" w:color="auto" w:fill="FFF2CC" w:themeFill="accent4" w:themeFillTint="33"/>
          </w:tcPr>
          <w:p w:rsidR="00DF0D80" w:rsidRPr="00DF0D80" w:rsidRDefault="00DF0D80" w:rsidP="00DF0D80">
            <w:pPr>
              <w:jc w:val="center"/>
              <w:rPr>
                <w:rFonts w:ascii="Times New Roman" w:hAnsi="Times New Roman" w:cs="Times New Roman"/>
                <w:b/>
                <w:sz w:val="28"/>
                <w:szCs w:val="28"/>
              </w:rPr>
            </w:pPr>
            <w:r w:rsidRPr="00DF0D80">
              <w:rPr>
                <w:rFonts w:ascii="Times New Roman" w:hAnsi="Times New Roman" w:cs="Times New Roman"/>
                <w:b/>
                <w:sz w:val="28"/>
                <w:szCs w:val="28"/>
              </w:rPr>
              <w:t>Ngày có hiệu lực</w:t>
            </w:r>
          </w:p>
        </w:tc>
        <w:tc>
          <w:tcPr>
            <w:tcW w:w="1741" w:type="dxa"/>
            <w:shd w:val="clear" w:color="auto" w:fill="FFF2CC" w:themeFill="accent4" w:themeFillTint="33"/>
          </w:tcPr>
          <w:p w:rsidR="00DF0D80" w:rsidRPr="00DF0D80" w:rsidRDefault="00DF0D80" w:rsidP="00DF0D80">
            <w:pPr>
              <w:jc w:val="center"/>
              <w:rPr>
                <w:rFonts w:ascii="Times New Roman" w:hAnsi="Times New Roman" w:cs="Times New Roman"/>
                <w:b/>
                <w:sz w:val="28"/>
                <w:szCs w:val="28"/>
              </w:rPr>
            </w:pPr>
            <w:r w:rsidRPr="00DF0D80">
              <w:rPr>
                <w:rFonts w:ascii="Times New Roman" w:hAnsi="Times New Roman" w:cs="Times New Roman"/>
                <w:b/>
                <w:sz w:val="28"/>
                <w:szCs w:val="28"/>
              </w:rPr>
              <w:t>Tình trạng hiệu lực</w:t>
            </w:r>
          </w:p>
        </w:tc>
      </w:tr>
      <w:tr w:rsidR="00DF0D80" w:rsidRPr="00DF0D80" w:rsidTr="00DF0D80">
        <w:tc>
          <w:tcPr>
            <w:tcW w:w="9350" w:type="dxa"/>
            <w:gridSpan w:val="5"/>
            <w:shd w:val="clear" w:color="auto" w:fill="C5E0B3" w:themeFill="accent6" w:themeFillTint="66"/>
          </w:tcPr>
          <w:p w:rsidR="00DF0D80" w:rsidRPr="00DF0D80" w:rsidRDefault="00DF0D80">
            <w:pPr>
              <w:rPr>
                <w:rFonts w:ascii="Times New Roman" w:hAnsi="Times New Roman" w:cs="Times New Roman"/>
                <w:b/>
                <w:i/>
                <w:sz w:val="28"/>
                <w:szCs w:val="28"/>
              </w:rPr>
            </w:pPr>
            <w:r w:rsidRPr="00DF0D80">
              <w:rPr>
                <w:rFonts w:ascii="Times New Roman" w:hAnsi="Times New Roman" w:cs="Times New Roman"/>
                <w:b/>
                <w:i/>
                <w:sz w:val="28"/>
                <w:szCs w:val="28"/>
              </w:rPr>
              <w:t xml:space="preserve">Nghị định hướng dẫn Bộ luật Dân sự </w:t>
            </w:r>
          </w:p>
        </w:tc>
      </w:tr>
      <w:tr w:rsidR="00DF0D80" w:rsidRPr="00DF0D80" w:rsidTr="00DF0D80">
        <w:tc>
          <w:tcPr>
            <w:tcW w:w="1112"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1</w:t>
            </w:r>
          </w:p>
        </w:tc>
        <w:tc>
          <w:tcPr>
            <w:tcW w:w="3513" w:type="dxa"/>
          </w:tcPr>
          <w:p w:rsidR="00DF0D80" w:rsidRPr="00DF0D80" w:rsidRDefault="00DF0D80">
            <w:pPr>
              <w:rPr>
                <w:rFonts w:ascii="Times New Roman" w:hAnsi="Times New Roman" w:cs="Times New Roman"/>
                <w:sz w:val="28"/>
                <w:szCs w:val="28"/>
              </w:rPr>
            </w:pPr>
            <w:hyperlink r:id="rId4" w:history="1">
              <w:r w:rsidRPr="00DF0D80">
                <w:rPr>
                  <w:rStyle w:val="Hyperlink"/>
                  <w:rFonts w:ascii="Times New Roman" w:hAnsi="Times New Roman" w:cs="Times New Roman"/>
                  <w:sz w:val="28"/>
                  <w:szCs w:val="28"/>
                </w:rPr>
                <w:t>Nghị định 99/2022/NĐ-CP</w:t>
              </w:r>
            </w:hyperlink>
            <w:r w:rsidRPr="00DF0D80">
              <w:rPr>
                <w:rFonts w:ascii="Times New Roman" w:hAnsi="Times New Roman" w:cs="Times New Roman"/>
                <w:sz w:val="28"/>
                <w:szCs w:val="28"/>
              </w:rPr>
              <w:t xml:space="preserve"> của Chính phủ về đăng ký biện pháp bảo đảm</w:t>
            </w: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30/11/2022</w:t>
            </w:r>
          </w:p>
          <w:p w:rsidR="00DF0D80" w:rsidRPr="00DF0D80" w:rsidRDefault="00DF0D80">
            <w:pPr>
              <w:rPr>
                <w:rFonts w:ascii="Times New Roman" w:hAnsi="Times New Roman" w:cs="Times New Roman"/>
                <w:sz w:val="28"/>
                <w:szCs w:val="28"/>
              </w:rPr>
            </w:pP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15/01/2023</w:t>
            </w:r>
          </w:p>
          <w:p w:rsidR="00DF0D80" w:rsidRPr="00DF0D80" w:rsidRDefault="00DF0D80">
            <w:pPr>
              <w:rPr>
                <w:rFonts w:ascii="Times New Roman" w:hAnsi="Times New Roman" w:cs="Times New Roman"/>
                <w:sz w:val="28"/>
                <w:szCs w:val="28"/>
              </w:rPr>
            </w:pPr>
          </w:p>
        </w:tc>
        <w:tc>
          <w:tcPr>
            <w:tcW w:w="1741"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Còn hiệu lực</w:t>
            </w:r>
          </w:p>
        </w:tc>
      </w:tr>
      <w:tr w:rsidR="00DF0D80" w:rsidRPr="00DF0D80" w:rsidTr="00DF0D80">
        <w:tc>
          <w:tcPr>
            <w:tcW w:w="1112"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2</w:t>
            </w:r>
          </w:p>
        </w:tc>
        <w:tc>
          <w:tcPr>
            <w:tcW w:w="3513" w:type="dxa"/>
          </w:tcPr>
          <w:p w:rsidR="00DF0D80" w:rsidRPr="00DF0D80" w:rsidRDefault="00DF0D80">
            <w:pPr>
              <w:rPr>
                <w:rFonts w:ascii="Times New Roman" w:hAnsi="Times New Roman" w:cs="Times New Roman"/>
                <w:sz w:val="28"/>
                <w:szCs w:val="28"/>
              </w:rPr>
            </w:pPr>
            <w:hyperlink r:id="rId5" w:history="1">
              <w:r w:rsidRPr="00DF0D80">
                <w:rPr>
                  <w:rStyle w:val="Hyperlink"/>
                  <w:rFonts w:ascii="Times New Roman" w:hAnsi="Times New Roman" w:cs="Times New Roman"/>
                  <w:sz w:val="28"/>
                  <w:szCs w:val="28"/>
                </w:rPr>
                <w:t>Nghị định 13/2023/NĐ-CP</w:t>
              </w:r>
            </w:hyperlink>
            <w:r w:rsidRPr="00DF0D80">
              <w:rPr>
                <w:rFonts w:ascii="Times New Roman" w:hAnsi="Times New Roman" w:cs="Times New Roman"/>
                <w:sz w:val="28"/>
                <w:szCs w:val="28"/>
              </w:rPr>
              <w:t xml:space="preserve"> của Chính phủ bảo vệ dữ liệu cá nhân</w:t>
            </w: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17/04/2023</w:t>
            </w:r>
          </w:p>
          <w:p w:rsidR="00DF0D80" w:rsidRPr="00DF0D80" w:rsidRDefault="00DF0D80">
            <w:pPr>
              <w:rPr>
                <w:rFonts w:ascii="Times New Roman" w:hAnsi="Times New Roman" w:cs="Times New Roman"/>
                <w:sz w:val="28"/>
                <w:szCs w:val="28"/>
              </w:rPr>
            </w:pP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01/07/2023</w:t>
            </w:r>
          </w:p>
          <w:p w:rsidR="00DF0D80" w:rsidRPr="00DF0D80" w:rsidRDefault="00DF0D80">
            <w:pPr>
              <w:rPr>
                <w:rFonts w:ascii="Times New Roman" w:hAnsi="Times New Roman" w:cs="Times New Roman"/>
                <w:sz w:val="28"/>
                <w:szCs w:val="28"/>
              </w:rPr>
            </w:pPr>
          </w:p>
        </w:tc>
        <w:tc>
          <w:tcPr>
            <w:tcW w:w="1741"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Còn hiệu lực</w:t>
            </w:r>
          </w:p>
        </w:tc>
      </w:tr>
      <w:tr w:rsidR="00DF0D80" w:rsidRPr="00DF0D80" w:rsidTr="00DF0D80">
        <w:tc>
          <w:tcPr>
            <w:tcW w:w="1112" w:type="dxa"/>
          </w:tcPr>
          <w:p w:rsidR="00DF0D80" w:rsidRPr="00DF0D80" w:rsidRDefault="00DF0D80">
            <w:pPr>
              <w:rPr>
                <w:rFonts w:ascii="Times New Roman" w:hAnsi="Times New Roman" w:cs="Times New Roman"/>
                <w:sz w:val="28"/>
                <w:szCs w:val="28"/>
              </w:rPr>
            </w:pPr>
            <w:r>
              <w:rPr>
                <w:rFonts w:ascii="Times New Roman" w:hAnsi="Times New Roman" w:cs="Times New Roman"/>
                <w:sz w:val="28"/>
                <w:szCs w:val="28"/>
              </w:rPr>
              <w:t>3</w:t>
            </w:r>
          </w:p>
        </w:tc>
        <w:tc>
          <w:tcPr>
            <w:tcW w:w="3513" w:type="dxa"/>
          </w:tcPr>
          <w:p w:rsidR="00DF0D80" w:rsidRPr="00DF0D80" w:rsidRDefault="00DF0D80">
            <w:pPr>
              <w:rPr>
                <w:rFonts w:ascii="Times New Roman" w:hAnsi="Times New Roman" w:cs="Times New Roman"/>
                <w:sz w:val="28"/>
                <w:szCs w:val="28"/>
              </w:rPr>
            </w:pPr>
            <w:hyperlink r:id="rId6" w:history="1">
              <w:r w:rsidRPr="00DF0D80">
                <w:rPr>
                  <w:rStyle w:val="Hyperlink"/>
                  <w:rFonts w:ascii="Times New Roman" w:hAnsi="Times New Roman" w:cs="Times New Roman"/>
                  <w:sz w:val="28"/>
                  <w:szCs w:val="28"/>
                </w:rPr>
                <w:t>Nghị định 21/2021/NĐ-CP</w:t>
              </w:r>
            </w:hyperlink>
            <w:r w:rsidRPr="00DF0D80">
              <w:rPr>
                <w:rFonts w:ascii="Times New Roman" w:hAnsi="Times New Roman" w:cs="Times New Roman"/>
                <w:sz w:val="28"/>
                <w:szCs w:val="28"/>
              </w:rPr>
              <w:t xml:space="preserve"> của Chính phủ về việc quy định thi hành Bộ luật Dân sự về bảo đảm thực hiện nghĩa vụ</w:t>
            </w: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19/03/2021</w:t>
            </w:r>
          </w:p>
          <w:p w:rsidR="00DF0D80" w:rsidRPr="00DF0D80" w:rsidRDefault="00DF0D80">
            <w:pPr>
              <w:rPr>
                <w:rFonts w:ascii="Times New Roman" w:hAnsi="Times New Roman" w:cs="Times New Roman"/>
                <w:sz w:val="28"/>
                <w:szCs w:val="28"/>
              </w:rPr>
            </w:pP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15/05/2021</w:t>
            </w:r>
          </w:p>
          <w:p w:rsidR="00DF0D80" w:rsidRPr="00DF0D80" w:rsidRDefault="00DF0D80">
            <w:pPr>
              <w:rPr>
                <w:rFonts w:ascii="Times New Roman" w:hAnsi="Times New Roman" w:cs="Times New Roman"/>
                <w:sz w:val="28"/>
                <w:szCs w:val="28"/>
              </w:rPr>
            </w:pPr>
          </w:p>
        </w:tc>
        <w:tc>
          <w:tcPr>
            <w:tcW w:w="1741"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Còn hiệu lực</w:t>
            </w:r>
          </w:p>
        </w:tc>
      </w:tr>
      <w:tr w:rsidR="00DF0D80" w:rsidRPr="00DF0D80" w:rsidTr="00DF0D80">
        <w:tc>
          <w:tcPr>
            <w:tcW w:w="1112" w:type="dxa"/>
          </w:tcPr>
          <w:p w:rsidR="00DF0D80" w:rsidRPr="00DF0D80" w:rsidRDefault="00DF0D80">
            <w:pPr>
              <w:rPr>
                <w:rFonts w:ascii="Times New Roman" w:hAnsi="Times New Roman" w:cs="Times New Roman"/>
                <w:sz w:val="28"/>
                <w:szCs w:val="28"/>
              </w:rPr>
            </w:pPr>
            <w:r>
              <w:rPr>
                <w:rFonts w:ascii="Times New Roman" w:hAnsi="Times New Roman" w:cs="Times New Roman"/>
                <w:sz w:val="28"/>
                <w:szCs w:val="28"/>
              </w:rPr>
              <w:t>4</w:t>
            </w:r>
          </w:p>
        </w:tc>
        <w:tc>
          <w:tcPr>
            <w:tcW w:w="3513" w:type="dxa"/>
          </w:tcPr>
          <w:p w:rsidR="00DF0D80" w:rsidRPr="00DF0D80" w:rsidRDefault="00DF0D80">
            <w:pPr>
              <w:rPr>
                <w:rFonts w:ascii="Times New Roman" w:hAnsi="Times New Roman" w:cs="Times New Roman"/>
                <w:sz w:val="28"/>
                <w:szCs w:val="28"/>
              </w:rPr>
            </w:pPr>
            <w:hyperlink r:id="rId7" w:history="1">
              <w:r w:rsidRPr="00DF0D80">
                <w:rPr>
                  <w:rStyle w:val="Hyperlink"/>
                  <w:rFonts w:ascii="Times New Roman" w:hAnsi="Times New Roman" w:cs="Times New Roman"/>
                  <w:sz w:val="28"/>
                  <w:szCs w:val="28"/>
                </w:rPr>
                <w:t>Nghị định 93/2019/NĐ-CP</w:t>
              </w:r>
            </w:hyperlink>
            <w:r w:rsidRPr="00DF0D80">
              <w:rPr>
                <w:rFonts w:ascii="Times New Roman" w:hAnsi="Times New Roman" w:cs="Times New Roman"/>
                <w:sz w:val="28"/>
                <w:szCs w:val="28"/>
              </w:rPr>
              <w:t xml:space="preserve"> của Chính phủ về tổ chức, hoạt động của quỹ xã hội, quỹ từ thiện</w:t>
            </w: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25/11/2019</w:t>
            </w:r>
          </w:p>
          <w:p w:rsidR="00DF0D80" w:rsidRPr="00DF0D80" w:rsidRDefault="00DF0D80">
            <w:pPr>
              <w:rPr>
                <w:rFonts w:ascii="Times New Roman" w:hAnsi="Times New Roman" w:cs="Times New Roman"/>
                <w:sz w:val="28"/>
                <w:szCs w:val="28"/>
              </w:rPr>
            </w:pP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15/01/2020</w:t>
            </w:r>
          </w:p>
          <w:p w:rsidR="00DF0D80" w:rsidRPr="00DF0D80" w:rsidRDefault="00DF0D80">
            <w:pPr>
              <w:rPr>
                <w:rFonts w:ascii="Times New Roman" w:hAnsi="Times New Roman" w:cs="Times New Roman"/>
                <w:sz w:val="28"/>
                <w:szCs w:val="28"/>
              </w:rPr>
            </w:pPr>
          </w:p>
        </w:tc>
        <w:tc>
          <w:tcPr>
            <w:tcW w:w="1741"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Còn hiệu lực</w:t>
            </w:r>
          </w:p>
        </w:tc>
      </w:tr>
      <w:tr w:rsidR="00DF0D80" w:rsidRPr="00DF0D80" w:rsidTr="00DF0D80">
        <w:tc>
          <w:tcPr>
            <w:tcW w:w="1112" w:type="dxa"/>
          </w:tcPr>
          <w:p w:rsidR="00DF0D80" w:rsidRPr="00DF0D80" w:rsidRDefault="00DF0D80">
            <w:pPr>
              <w:rPr>
                <w:rFonts w:ascii="Times New Roman" w:hAnsi="Times New Roman" w:cs="Times New Roman"/>
                <w:sz w:val="28"/>
                <w:szCs w:val="28"/>
              </w:rPr>
            </w:pPr>
            <w:r>
              <w:rPr>
                <w:rFonts w:ascii="Times New Roman" w:hAnsi="Times New Roman" w:cs="Times New Roman"/>
                <w:sz w:val="28"/>
                <w:szCs w:val="28"/>
              </w:rPr>
              <w:t>5</w:t>
            </w:r>
          </w:p>
        </w:tc>
        <w:tc>
          <w:tcPr>
            <w:tcW w:w="3513" w:type="dxa"/>
          </w:tcPr>
          <w:p w:rsidR="00DF0D80" w:rsidRPr="00DF0D80" w:rsidRDefault="00DF0D80">
            <w:pPr>
              <w:rPr>
                <w:rFonts w:ascii="Times New Roman" w:hAnsi="Times New Roman" w:cs="Times New Roman"/>
                <w:sz w:val="28"/>
                <w:szCs w:val="28"/>
              </w:rPr>
            </w:pPr>
            <w:hyperlink r:id="rId8" w:history="1">
              <w:r w:rsidRPr="00DF0D80">
                <w:rPr>
                  <w:rStyle w:val="Hyperlink"/>
                  <w:rFonts w:ascii="Times New Roman" w:hAnsi="Times New Roman" w:cs="Times New Roman"/>
                  <w:sz w:val="28"/>
                  <w:szCs w:val="28"/>
                </w:rPr>
                <w:t>Nghị định 19/2019/NĐ-CP</w:t>
              </w:r>
            </w:hyperlink>
            <w:r w:rsidRPr="00DF0D80">
              <w:rPr>
                <w:rFonts w:ascii="Times New Roman" w:hAnsi="Times New Roman" w:cs="Times New Roman"/>
                <w:sz w:val="28"/>
                <w:szCs w:val="28"/>
              </w:rPr>
              <w:t xml:space="preserve"> của Chính phủ về họ, hụi, biêu, phường</w:t>
            </w: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19/02/2019</w:t>
            </w:r>
          </w:p>
          <w:p w:rsidR="00DF0D80" w:rsidRPr="00DF0D80" w:rsidRDefault="00DF0D80">
            <w:pPr>
              <w:rPr>
                <w:rFonts w:ascii="Times New Roman" w:hAnsi="Times New Roman" w:cs="Times New Roman"/>
                <w:sz w:val="28"/>
                <w:szCs w:val="28"/>
              </w:rPr>
            </w:pP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05/04/2019</w:t>
            </w:r>
          </w:p>
          <w:p w:rsidR="00DF0D80" w:rsidRPr="00DF0D80" w:rsidRDefault="00DF0D80">
            <w:pPr>
              <w:rPr>
                <w:rFonts w:ascii="Times New Roman" w:hAnsi="Times New Roman" w:cs="Times New Roman"/>
                <w:sz w:val="28"/>
                <w:szCs w:val="28"/>
              </w:rPr>
            </w:pPr>
          </w:p>
        </w:tc>
        <w:tc>
          <w:tcPr>
            <w:tcW w:w="1741"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Còn hiệu lực</w:t>
            </w:r>
          </w:p>
        </w:tc>
      </w:tr>
      <w:tr w:rsidR="00DF0D80" w:rsidRPr="00DF0D80" w:rsidTr="00AE0B7D">
        <w:tc>
          <w:tcPr>
            <w:tcW w:w="1112" w:type="dxa"/>
          </w:tcPr>
          <w:p w:rsidR="00DF0D80" w:rsidRPr="00DF0D80" w:rsidRDefault="00DF0D80" w:rsidP="00AE0B7D">
            <w:pPr>
              <w:rPr>
                <w:rFonts w:ascii="Times New Roman" w:hAnsi="Times New Roman" w:cs="Times New Roman"/>
                <w:sz w:val="28"/>
                <w:szCs w:val="28"/>
              </w:rPr>
            </w:pPr>
            <w:r>
              <w:rPr>
                <w:rFonts w:ascii="Times New Roman" w:hAnsi="Times New Roman" w:cs="Times New Roman"/>
                <w:sz w:val="28"/>
                <w:szCs w:val="28"/>
              </w:rPr>
              <w:t>6</w:t>
            </w:r>
          </w:p>
        </w:tc>
        <w:tc>
          <w:tcPr>
            <w:tcW w:w="3513" w:type="dxa"/>
          </w:tcPr>
          <w:p w:rsidR="00DF0D80" w:rsidRPr="00DF0D80" w:rsidRDefault="00DF0D80" w:rsidP="00AE0B7D">
            <w:pPr>
              <w:rPr>
                <w:rFonts w:ascii="Times New Roman" w:hAnsi="Times New Roman" w:cs="Times New Roman"/>
                <w:sz w:val="28"/>
                <w:szCs w:val="28"/>
              </w:rPr>
            </w:pPr>
            <w:hyperlink r:id="rId9" w:history="1">
              <w:r w:rsidRPr="00DF0D80">
                <w:rPr>
                  <w:rStyle w:val="Hyperlink"/>
                  <w:rFonts w:ascii="Times New Roman" w:hAnsi="Times New Roman" w:cs="Times New Roman"/>
                  <w:sz w:val="28"/>
                  <w:szCs w:val="28"/>
                </w:rPr>
                <w:t>Nghị định 102/2017/NĐ-CP</w:t>
              </w:r>
            </w:hyperlink>
            <w:r w:rsidRPr="00DF0D80">
              <w:rPr>
                <w:rFonts w:ascii="Times New Roman" w:hAnsi="Times New Roman" w:cs="Times New Roman"/>
                <w:sz w:val="28"/>
                <w:szCs w:val="28"/>
              </w:rPr>
              <w:t xml:space="preserve"> của Chính phủ về việc đăng ký biện pháp bảo đảm</w:t>
            </w:r>
          </w:p>
        </w:tc>
        <w:tc>
          <w:tcPr>
            <w:tcW w:w="1492" w:type="dxa"/>
          </w:tcPr>
          <w:p w:rsidR="00DF0D80" w:rsidRPr="00DF0D80" w:rsidRDefault="00DF0D80" w:rsidP="00AE0B7D">
            <w:pPr>
              <w:rPr>
                <w:rFonts w:ascii="Times New Roman" w:hAnsi="Times New Roman" w:cs="Times New Roman"/>
                <w:color w:val="2E2E2E"/>
                <w:sz w:val="28"/>
                <w:szCs w:val="28"/>
              </w:rPr>
            </w:pPr>
            <w:r w:rsidRPr="00DF0D80">
              <w:rPr>
                <w:rFonts w:ascii="Times New Roman" w:hAnsi="Times New Roman" w:cs="Times New Roman"/>
                <w:color w:val="2E2E2E"/>
                <w:sz w:val="28"/>
                <w:szCs w:val="28"/>
              </w:rPr>
              <w:t>01/09/2017</w:t>
            </w:r>
          </w:p>
          <w:p w:rsidR="00DF0D80" w:rsidRPr="00DF0D80" w:rsidRDefault="00DF0D80" w:rsidP="00AE0B7D">
            <w:pPr>
              <w:rPr>
                <w:rFonts w:ascii="Times New Roman" w:hAnsi="Times New Roman" w:cs="Times New Roman"/>
                <w:color w:val="2E2E2E"/>
                <w:sz w:val="28"/>
                <w:szCs w:val="28"/>
              </w:rPr>
            </w:pPr>
          </w:p>
        </w:tc>
        <w:tc>
          <w:tcPr>
            <w:tcW w:w="1492" w:type="dxa"/>
          </w:tcPr>
          <w:p w:rsidR="00DF0D80" w:rsidRPr="00DF0D80" w:rsidRDefault="00DF0D80" w:rsidP="00AE0B7D">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15/10/2017</w:t>
            </w:r>
          </w:p>
          <w:p w:rsidR="00DF0D80" w:rsidRPr="00DF0D80" w:rsidRDefault="00DF0D80" w:rsidP="00AE0B7D">
            <w:pPr>
              <w:rPr>
                <w:rFonts w:ascii="Times New Roman" w:hAnsi="Times New Roman" w:cs="Times New Roman"/>
                <w:color w:val="2E2E2E"/>
                <w:sz w:val="28"/>
                <w:szCs w:val="28"/>
              </w:rPr>
            </w:pPr>
          </w:p>
        </w:tc>
        <w:tc>
          <w:tcPr>
            <w:tcW w:w="1741" w:type="dxa"/>
          </w:tcPr>
          <w:p w:rsidR="00DF0D80" w:rsidRPr="00DF0D80" w:rsidRDefault="00DF0D80" w:rsidP="00AE0B7D">
            <w:pPr>
              <w:rPr>
                <w:rFonts w:ascii="Times New Roman" w:hAnsi="Times New Roman" w:cs="Times New Roman"/>
                <w:sz w:val="28"/>
                <w:szCs w:val="28"/>
              </w:rPr>
            </w:pPr>
            <w:r w:rsidRPr="00DF0D80">
              <w:rPr>
                <w:rFonts w:ascii="Times New Roman" w:hAnsi="Times New Roman" w:cs="Times New Roman"/>
                <w:sz w:val="28"/>
                <w:szCs w:val="28"/>
              </w:rPr>
              <w:t>Hết hiệu lực</w:t>
            </w:r>
          </w:p>
        </w:tc>
      </w:tr>
      <w:tr w:rsidR="00DF0D80" w:rsidRPr="00DF0D80" w:rsidTr="00DF0D80">
        <w:tc>
          <w:tcPr>
            <w:tcW w:w="9350" w:type="dxa"/>
            <w:gridSpan w:val="5"/>
            <w:shd w:val="clear" w:color="auto" w:fill="C5E0B3" w:themeFill="accent6" w:themeFillTint="66"/>
          </w:tcPr>
          <w:p w:rsidR="00DF0D80" w:rsidRPr="00DF0D80" w:rsidRDefault="00DF0D80" w:rsidP="00DF0D80">
            <w:pPr>
              <w:rPr>
                <w:rFonts w:ascii="Times New Roman" w:hAnsi="Times New Roman" w:cs="Times New Roman"/>
                <w:b/>
                <w:i/>
                <w:sz w:val="28"/>
                <w:szCs w:val="28"/>
              </w:rPr>
            </w:pPr>
            <w:r w:rsidRPr="00DF0D80">
              <w:rPr>
                <w:rFonts w:ascii="Times New Roman" w:hAnsi="Times New Roman" w:cs="Times New Roman"/>
                <w:b/>
                <w:i/>
                <w:sz w:val="28"/>
                <w:szCs w:val="28"/>
              </w:rPr>
              <w:t>Nghị quyết hướng dẫn Bộ luật Dân sự mới nhất</w:t>
            </w:r>
          </w:p>
        </w:tc>
      </w:tr>
      <w:tr w:rsidR="00DF0D80" w:rsidRPr="00DF0D80" w:rsidTr="00AE0B7D">
        <w:tc>
          <w:tcPr>
            <w:tcW w:w="1112" w:type="dxa"/>
          </w:tcPr>
          <w:p w:rsidR="00DF0D80" w:rsidRPr="00DF0D80" w:rsidRDefault="00DF0D80" w:rsidP="00AE0B7D">
            <w:pPr>
              <w:rPr>
                <w:rFonts w:ascii="Times New Roman" w:hAnsi="Times New Roman" w:cs="Times New Roman"/>
                <w:sz w:val="28"/>
                <w:szCs w:val="28"/>
              </w:rPr>
            </w:pPr>
            <w:r>
              <w:rPr>
                <w:rFonts w:ascii="Times New Roman" w:hAnsi="Times New Roman" w:cs="Times New Roman"/>
                <w:sz w:val="28"/>
                <w:szCs w:val="28"/>
              </w:rPr>
              <w:t>7</w:t>
            </w:r>
          </w:p>
        </w:tc>
        <w:tc>
          <w:tcPr>
            <w:tcW w:w="3513" w:type="dxa"/>
          </w:tcPr>
          <w:p w:rsidR="00DF0D80" w:rsidRPr="00DF0D80" w:rsidRDefault="00DF0D80" w:rsidP="00AE0B7D">
            <w:pPr>
              <w:rPr>
                <w:rFonts w:ascii="Times New Roman" w:hAnsi="Times New Roman" w:cs="Times New Roman"/>
                <w:sz w:val="28"/>
                <w:szCs w:val="28"/>
              </w:rPr>
            </w:pPr>
            <w:hyperlink r:id="rId10" w:history="1">
              <w:r w:rsidRPr="00DF0D80">
                <w:rPr>
                  <w:rStyle w:val="Hyperlink"/>
                  <w:rFonts w:ascii="Times New Roman" w:hAnsi="Times New Roman" w:cs="Times New Roman"/>
                  <w:sz w:val="28"/>
                  <w:szCs w:val="28"/>
                </w:rPr>
                <w:t>Nghị quyết 02/2022/NQ-HĐTP</w:t>
              </w:r>
            </w:hyperlink>
            <w:r w:rsidRPr="00DF0D80">
              <w:rPr>
                <w:rFonts w:ascii="Times New Roman" w:hAnsi="Times New Roman" w:cs="Times New Roman"/>
                <w:sz w:val="28"/>
                <w:szCs w:val="28"/>
              </w:rPr>
              <w:t xml:space="preserve"> của Hội đồng Thẩm phán Toà án nhân dân tối cao về việc hướng dẫn áp dụng một số quy định của Bộ luật Dân sự về trách nhiệm bồi thường thiệt hại ngoài hợp đồng</w:t>
            </w:r>
          </w:p>
        </w:tc>
        <w:tc>
          <w:tcPr>
            <w:tcW w:w="1492" w:type="dxa"/>
          </w:tcPr>
          <w:p w:rsidR="00DF0D80" w:rsidRPr="00DF0D80" w:rsidRDefault="00DF0D80" w:rsidP="00AE0B7D">
            <w:pPr>
              <w:rPr>
                <w:rFonts w:ascii="Times New Roman" w:hAnsi="Times New Roman" w:cs="Times New Roman"/>
                <w:color w:val="2E2E2E"/>
                <w:sz w:val="28"/>
                <w:szCs w:val="28"/>
              </w:rPr>
            </w:pPr>
            <w:r w:rsidRPr="00DF0D80">
              <w:rPr>
                <w:rFonts w:ascii="Times New Roman" w:hAnsi="Times New Roman" w:cs="Times New Roman"/>
                <w:color w:val="2E2E2E"/>
                <w:sz w:val="28"/>
                <w:szCs w:val="28"/>
              </w:rPr>
              <w:t>06/09/2022</w:t>
            </w:r>
          </w:p>
          <w:p w:rsidR="00DF0D80" w:rsidRPr="00DF0D80" w:rsidRDefault="00DF0D80" w:rsidP="00AE0B7D">
            <w:pPr>
              <w:rPr>
                <w:rFonts w:ascii="Times New Roman" w:hAnsi="Times New Roman" w:cs="Times New Roman"/>
                <w:sz w:val="28"/>
                <w:szCs w:val="28"/>
              </w:rPr>
            </w:pPr>
          </w:p>
        </w:tc>
        <w:tc>
          <w:tcPr>
            <w:tcW w:w="1492" w:type="dxa"/>
          </w:tcPr>
          <w:p w:rsidR="00DF0D80" w:rsidRPr="00DF0D80" w:rsidRDefault="00DF0D80" w:rsidP="00AE0B7D">
            <w:pPr>
              <w:rPr>
                <w:rFonts w:ascii="Times New Roman" w:hAnsi="Times New Roman" w:cs="Times New Roman"/>
                <w:color w:val="2E2E2E"/>
                <w:sz w:val="28"/>
                <w:szCs w:val="28"/>
              </w:rPr>
            </w:pPr>
            <w:r w:rsidRPr="00DF0D80">
              <w:rPr>
                <w:rFonts w:ascii="Times New Roman" w:hAnsi="Times New Roman" w:cs="Times New Roman"/>
                <w:color w:val="2E2E2E"/>
                <w:sz w:val="28"/>
                <w:szCs w:val="28"/>
              </w:rPr>
              <w:t>01/01/2023</w:t>
            </w:r>
          </w:p>
          <w:p w:rsidR="00DF0D80" w:rsidRPr="00DF0D80" w:rsidRDefault="00DF0D80" w:rsidP="00AE0B7D">
            <w:pPr>
              <w:rPr>
                <w:rFonts w:ascii="Times New Roman" w:hAnsi="Times New Roman" w:cs="Times New Roman"/>
                <w:sz w:val="28"/>
                <w:szCs w:val="28"/>
              </w:rPr>
            </w:pPr>
          </w:p>
        </w:tc>
        <w:tc>
          <w:tcPr>
            <w:tcW w:w="1741" w:type="dxa"/>
          </w:tcPr>
          <w:p w:rsidR="00DF0D80" w:rsidRPr="00DF0D80" w:rsidRDefault="00DF0D80" w:rsidP="00AE0B7D">
            <w:pPr>
              <w:rPr>
                <w:rFonts w:ascii="Times New Roman" w:hAnsi="Times New Roman" w:cs="Times New Roman"/>
                <w:sz w:val="28"/>
                <w:szCs w:val="28"/>
              </w:rPr>
            </w:pPr>
            <w:r w:rsidRPr="00DF0D80">
              <w:rPr>
                <w:rFonts w:ascii="Times New Roman" w:hAnsi="Times New Roman" w:cs="Times New Roman"/>
                <w:sz w:val="28"/>
                <w:szCs w:val="28"/>
              </w:rPr>
              <w:t>Còn hiệu lực</w:t>
            </w:r>
          </w:p>
        </w:tc>
      </w:tr>
      <w:tr w:rsidR="00DF0D80" w:rsidRPr="00DF0D80" w:rsidTr="00DF0D80">
        <w:tc>
          <w:tcPr>
            <w:tcW w:w="1112" w:type="dxa"/>
          </w:tcPr>
          <w:p w:rsidR="00DF0D80" w:rsidRPr="00DF0D80" w:rsidRDefault="00DF0D80">
            <w:pPr>
              <w:rPr>
                <w:rFonts w:ascii="Times New Roman" w:hAnsi="Times New Roman" w:cs="Times New Roman"/>
                <w:sz w:val="28"/>
                <w:szCs w:val="28"/>
              </w:rPr>
            </w:pPr>
            <w:r>
              <w:rPr>
                <w:rFonts w:ascii="Times New Roman" w:hAnsi="Times New Roman" w:cs="Times New Roman"/>
                <w:sz w:val="28"/>
                <w:szCs w:val="28"/>
              </w:rPr>
              <w:t>8</w:t>
            </w:r>
          </w:p>
        </w:tc>
        <w:tc>
          <w:tcPr>
            <w:tcW w:w="3513" w:type="dxa"/>
          </w:tcPr>
          <w:p w:rsidR="00DF0D80" w:rsidRPr="00DF0D80" w:rsidRDefault="00DF0D80">
            <w:pPr>
              <w:rPr>
                <w:rFonts w:ascii="Times New Roman" w:hAnsi="Times New Roman" w:cs="Times New Roman"/>
                <w:sz w:val="28"/>
                <w:szCs w:val="28"/>
              </w:rPr>
            </w:pPr>
            <w:hyperlink r:id="rId11" w:history="1">
              <w:r w:rsidRPr="00DF0D80">
                <w:rPr>
                  <w:rStyle w:val="Hyperlink"/>
                  <w:rFonts w:ascii="Times New Roman" w:hAnsi="Times New Roman" w:cs="Times New Roman"/>
                  <w:sz w:val="28"/>
                  <w:szCs w:val="28"/>
                </w:rPr>
                <w:t>Nghị quyết 01/2019/NQ-HĐTP</w:t>
              </w:r>
            </w:hyperlink>
            <w:r w:rsidRPr="00DF0D80">
              <w:rPr>
                <w:rFonts w:ascii="Times New Roman" w:hAnsi="Times New Roman" w:cs="Times New Roman"/>
                <w:sz w:val="28"/>
                <w:szCs w:val="28"/>
              </w:rPr>
              <w:t xml:space="preserve"> của Hội đồng Thẩm phán Tòa án nhân dân tối cao </w:t>
            </w:r>
            <w:r w:rsidRPr="00DF0D80">
              <w:rPr>
                <w:rFonts w:ascii="Times New Roman" w:hAnsi="Times New Roman" w:cs="Times New Roman"/>
                <w:sz w:val="28"/>
                <w:szCs w:val="28"/>
              </w:rPr>
              <w:lastRenderedPageBreak/>
              <w:t>về việc hướng dẫn áp dụng một số quy định của pháp luật về lãi, lãi suất, phạt vi phạm</w:t>
            </w: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lastRenderedPageBreak/>
              <w:t>11/01/2019</w:t>
            </w:r>
          </w:p>
          <w:p w:rsidR="00DF0D80" w:rsidRPr="00DF0D80" w:rsidRDefault="00DF0D80">
            <w:pPr>
              <w:rPr>
                <w:rFonts w:ascii="Times New Roman" w:hAnsi="Times New Roman" w:cs="Times New Roman"/>
                <w:sz w:val="28"/>
                <w:szCs w:val="28"/>
              </w:rPr>
            </w:pP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15/03/2019</w:t>
            </w:r>
          </w:p>
          <w:p w:rsidR="00DF0D80" w:rsidRPr="00DF0D80" w:rsidRDefault="00DF0D80">
            <w:pPr>
              <w:rPr>
                <w:rFonts w:ascii="Times New Roman" w:hAnsi="Times New Roman" w:cs="Times New Roman"/>
                <w:sz w:val="28"/>
                <w:szCs w:val="28"/>
              </w:rPr>
            </w:pPr>
          </w:p>
        </w:tc>
        <w:tc>
          <w:tcPr>
            <w:tcW w:w="1741"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Còn hiệu lực</w:t>
            </w:r>
          </w:p>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(Đã được đính chính)</w:t>
            </w:r>
          </w:p>
        </w:tc>
      </w:tr>
      <w:tr w:rsidR="00DF0D80" w:rsidRPr="00DF0D80" w:rsidTr="00DF0D80">
        <w:tc>
          <w:tcPr>
            <w:tcW w:w="9350" w:type="dxa"/>
            <w:gridSpan w:val="5"/>
            <w:shd w:val="clear" w:color="auto" w:fill="C5E0B3" w:themeFill="accent6" w:themeFillTint="66"/>
          </w:tcPr>
          <w:p w:rsidR="00DF0D80" w:rsidRPr="00DF0D80" w:rsidRDefault="00DF0D80" w:rsidP="00AE0B7D">
            <w:pPr>
              <w:rPr>
                <w:rFonts w:ascii="Times New Roman" w:hAnsi="Times New Roman" w:cs="Times New Roman"/>
                <w:b/>
                <w:i/>
                <w:sz w:val="28"/>
                <w:szCs w:val="28"/>
              </w:rPr>
            </w:pPr>
            <w:r w:rsidRPr="00DF0D80">
              <w:rPr>
                <w:rFonts w:ascii="Times New Roman" w:hAnsi="Times New Roman" w:cs="Times New Roman"/>
                <w:b/>
                <w:i/>
                <w:sz w:val="28"/>
                <w:szCs w:val="28"/>
              </w:rPr>
              <w:lastRenderedPageBreak/>
              <w:t>Văn bản khác</w:t>
            </w:r>
          </w:p>
        </w:tc>
      </w:tr>
      <w:tr w:rsidR="00DF0D80" w:rsidRPr="00DF0D80" w:rsidTr="00DF0D80">
        <w:tc>
          <w:tcPr>
            <w:tcW w:w="1112" w:type="dxa"/>
          </w:tcPr>
          <w:p w:rsidR="00DF0D80" w:rsidRPr="00DF0D80" w:rsidRDefault="00DF0D80">
            <w:pPr>
              <w:rPr>
                <w:rFonts w:ascii="Times New Roman" w:hAnsi="Times New Roman" w:cs="Times New Roman"/>
                <w:sz w:val="28"/>
                <w:szCs w:val="28"/>
              </w:rPr>
            </w:pPr>
            <w:r>
              <w:rPr>
                <w:rFonts w:ascii="Times New Roman" w:hAnsi="Times New Roman" w:cs="Times New Roman"/>
                <w:sz w:val="28"/>
                <w:szCs w:val="28"/>
              </w:rPr>
              <w:t>9</w:t>
            </w:r>
          </w:p>
        </w:tc>
        <w:tc>
          <w:tcPr>
            <w:tcW w:w="3513" w:type="dxa"/>
          </w:tcPr>
          <w:p w:rsidR="00DF0D80" w:rsidRPr="00DF0D80" w:rsidRDefault="00DF0D80">
            <w:pPr>
              <w:rPr>
                <w:rFonts w:ascii="Times New Roman" w:hAnsi="Times New Roman" w:cs="Times New Roman"/>
                <w:sz w:val="28"/>
                <w:szCs w:val="28"/>
              </w:rPr>
            </w:pPr>
            <w:hyperlink r:id="rId12" w:history="1">
              <w:r w:rsidRPr="00DF0D80">
                <w:rPr>
                  <w:rStyle w:val="Hyperlink"/>
                  <w:rFonts w:ascii="Times New Roman" w:hAnsi="Times New Roman" w:cs="Times New Roman"/>
                  <w:sz w:val="28"/>
                  <w:szCs w:val="28"/>
                </w:rPr>
                <w:t>Thông tư liên tịch 09/2016/TTLT-BTP-BTNMT</w:t>
              </w:r>
            </w:hyperlink>
            <w:r w:rsidRPr="00DF0D80">
              <w:rPr>
                <w:rFonts w:ascii="Times New Roman" w:hAnsi="Times New Roman" w:cs="Times New Roman"/>
                <w:sz w:val="28"/>
                <w:szCs w:val="28"/>
              </w:rPr>
              <w:t xml:space="preserve"> của Bộ Tư pháp, Bộ Tài nguyên và Môi trường về việc hướng dẫn việc đăng ký thế chấp quyền sử dụng đất, tài sản gắn liền với đất</w:t>
            </w: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23/06/2016</w:t>
            </w:r>
          </w:p>
          <w:p w:rsidR="00DF0D80" w:rsidRPr="00DF0D80" w:rsidRDefault="00DF0D80" w:rsidP="00DF0D80">
            <w:pPr>
              <w:rPr>
                <w:rFonts w:ascii="Times New Roman" w:hAnsi="Times New Roman" w:cs="Times New Roman"/>
                <w:color w:val="2E2E2E"/>
                <w:sz w:val="28"/>
                <w:szCs w:val="28"/>
              </w:rPr>
            </w:pPr>
          </w:p>
        </w:tc>
        <w:tc>
          <w:tcPr>
            <w:tcW w:w="1492" w:type="dxa"/>
          </w:tcPr>
          <w:p w:rsidR="00DF0D80" w:rsidRPr="00DF0D80" w:rsidRDefault="00DF0D80" w:rsidP="00DF0D80">
            <w:pPr>
              <w:rPr>
                <w:rFonts w:ascii="Times New Roman" w:hAnsi="Times New Roman" w:cs="Times New Roman"/>
                <w:color w:val="2E2E2E"/>
                <w:sz w:val="28"/>
                <w:szCs w:val="28"/>
              </w:rPr>
            </w:pPr>
            <w:r w:rsidRPr="00DF0D80">
              <w:rPr>
                <w:rFonts w:ascii="Times New Roman" w:hAnsi="Times New Roman" w:cs="Times New Roman"/>
                <w:color w:val="2E2E2E"/>
                <w:sz w:val="28"/>
                <w:szCs w:val="28"/>
              </w:rPr>
              <w:t>08/08/2016</w:t>
            </w:r>
          </w:p>
          <w:p w:rsidR="00DF0D80" w:rsidRPr="00DF0D80" w:rsidRDefault="00DF0D80" w:rsidP="00DF0D80">
            <w:pPr>
              <w:rPr>
                <w:rFonts w:ascii="Times New Roman" w:hAnsi="Times New Roman" w:cs="Times New Roman"/>
                <w:color w:val="2E2E2E"/>
                <w:sz w:val="28"/>
                <w:szCs w:val="28"/>
              </w:rPr>
            </w:pPr>
          </w:p>
        </w:tc>
        <w:tc>
          <w:tcPr>
            <w:tcW w:w="1741" w:type="dxa"/>
          </w:tcPr>
          <w:p w:rsidR="00DF0D80" w:rsidRPr="00DF0D80" w:rsidRDefault="00DF0D80">
            <w:pPr>
              <w:rPr>
                <w:rFonts w:ascii="Times New Roman" w:hAnsi="Times New Roman" w:cs="Times New Roman"/>
                <w:sz w:val="28"/>
                <w:szCs w:val="28"/>
              </w:rPr>
            </w:pPr>
            <w:r w:rsidRPr="00DF0D80">
              <w:rPr>
                <w:rFonts w:ascii="Times New Roman" w:hAnsi="Times New Roman" w:cs="Times New Roman"/>
                <w:sz w:val="28"/>
                <w:szCs w:val="28"/>
              </w:rPr>
              <w:t>Hết hiệu lực</w:t>
            </w:r>
          </w:p>
        </w:tc>
      </w:tr>
      <w:tr w:rsidR="00DF0D80" w:rsidRPr="00DF0D80" w:rsidTr="00AE0B7D">
        <w:tc>
          <w:tcPr>
            <w:tcW w:w="1112" w:type="dxa"/>
          </w:tcPr>
          <w:p w:rsidR="00DF0D80" w:rsidRPr="00DF0D80" w:rsidRDefault="00DF0D80" w:rsidP="00AE0B7D">
            <w:pPr>
              <w:rPr>
                <w:rFonts w:ascii="Times New Roman" w:hAnsi="Times New Roman" w:cs="Times New Roman"/>
                <w:sz w:val="28"/>
                <w:szCs w:val="28"/>
              </w:rPr>
            </w:pPr>
            <w:r>
              <w:rPr>
                <w:rFonts w:ascii="Times New Roman" w:hAnsi="Times New Roman" w:cs="Times New Roman"/>
                <w:sz w:val="28"/>
                <w:szCs w:val="28"/>
              </w:rPr>
              <w:t>10</w:t>
            </w:r>
          </w:p>
        </w:tc>
        <w:tc>
          <w:tcPr>
            <w:tcW w:w="3513" w:type="dxa"/>
          </w:tcPr>
          <w:p w:rsidR="00DF0D80" w:rsidRPr="00DF0D80" w:rsidRDefault="00DF0D80" w:rsidP="00AE0B7D">
            <w:pPr>
              <w:rPr>
                <w:rFonts w:ascii="Times New Roman" w:hAnsi="Times New Roman" w:cs="Times New Roman"/>
                <w:sz w:val="28"/>
                <w:szCs w:val="28"/>
              </w:rPr>
            </w:pPr>
            <w:hyperlink r:id="rId13" w:history="1">
              <w:r w:rsidRPr="00DF0D80">
                <w:rPr>
                  <w:rStyle w:val="Hyperlink"/>
                  <w:rFonts w:ascii="Times New Roman" w:hAnsi="Times New Roman" w:cs="Times New Roman"/>
                  <w:sz w:val="28"/>
                  <w:szCs w:val="28"/>
                </w:rPr>
                <w:t>Công văn 152/TANDTC-PC</w:t>
              </w:r>
            </w:hyperlink>
            <w:r w:rsidRPr="00DF0D80">
              <w:rPr>
                <w:rFonts w:ascii="Times New Roman" w:hAnsi="Times New Roman" w:cs="Times New Roman"/>
                <w:sz w:val="28"/>
                <w:szCs w:val="28"/>
              </w:rPr>
              <w:t xml:space="preserve"> của Tòa án nhân dân tối cao về việc giải quyết tranh chấp hợp đồng tín dụng, xử lý nợ xấu</w:t>
            </w:r>
          </w:p>
        </w:tc>
        <w:tc>
          <w:tcPr>
            <w:tcW w:w="1492" w:type="dxa"/>
          </w:tcPr>
          <w:p w:rsidR="00DF0D80" w:rsidRPr="00DF0D80" w:rsidRDefault="00DF0D80" w:rsidP="00AE0B7D">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19/07/2017</w:t>
            </w:r>
          </w:p>
          <w:p w:rsidR="00DF0D80" w:rsidRPr="00DF0D80" w:rsidRDefault="00DF0D80" w:rsidP="00AE0B7D">
            <w:pPr>
              <w:rPr>
                <w:rFonts w:ascii="Times New Roman" w:hAnsi="Times New Roman" w:cs="Times New Roman"/>
                <w:color w:val="2E2E2E"/>
                <w:sz w:val="28"/>
                <w:szCs w:val="28"/>
              </w:rPr>
            </w:pPr>
          </w:p>
        </w:tc>
        <w:tc>
          <w:tcPr>
            <w:tcW w:w="1492" w:type="dxa"/>
          </w:tcPr>
          <w:p w:rsidR="00DF0D80" w:rsidRPr="00DF0D80" w:rsidRDefault="00DF0D80" w:rsidP="00AE0B7D">
            <w:pPr>
              <w:rPr>
                <w:rFonts w:ascii="Times New Roman" w:hAnsi="Times New Roman" w:cs="Times New Roman"/>
                <w:color w:val="2E2E2E"/>
                <w:sz w:val="28"/>
                <w:szCs w:val="28"/>
              </w:rPr>
            </w:pPr>
            <w:r w:rsidRPr="00DF0D80">
              <w:rPr>
                <w:rFonts w:ascii="Times New Roman" w:hAnsi="Times New Roman" w:cs="Times New Roman"/>
                <w:color w:val="2E2E2E"/>
                <w:sz w:val="28"/>
                <w:szCs w:val="28"/>
              </w:rPr>
              <w:t>19/07/2017</w:t>
            </w:r>
          </w:p>
          <w:p w:rsidR="00DF0D80" w:rsidRPr="00DF0D80" w:rsidRDefault="00DF0D80" w:rsidP="00AE0B7D">
            <w:pPr>
              <w:rPr>
                <w:rFonts w:ascii="Times New Roman" w:hAnsi="Times New Roman" w:cs="Times New Roman"/>
                <w:color w:val="2E2E2E"/>
                <w:sz w:val="28"/>
                <w:szCs w:val="28"/>
              </w:rPr>
            </w:pPr>
          </w:p>
        </w:tc>
        <w:tc>
          <w:tcPr>
            <w:tcW w:w="1741" w:type="dxa"/>
          </w:tcPr>
          <w:p w:rsidR="00DF0D80" w:rsidRPr="00DF0D80" w:rsidRDefault="00DF0D80" w:rsidP="00AE0B7D">
            <w:pPr>
              <w:rPr>
                <w:rFonts w:ascii="Times New Roman" w:hAnsi="Times New Roman" w:cs="Times New Roman"/>
                <w:sz w:val="28"/>
                <w:szCs w:val="28"/>
              </w:rPr>
            </w:pPr>
            <w:r w:rsidRPr="00DF0D80">
              <w:rPr>
                <w:rFonts w:ascii="Times New Roman" w:hAnsi="Times New Roman" w:cs="Times New Roman"/>
                <w:sz w:val="28"/>
                <w:szCs w:val="28"/>
              </w:rPr>
              <w:t>Còn hiệu lực</w:t>
            </w:r>
          </w:p>
        </w:tc>
      </w:tr>
    </w:tbl>
    <w:p w:rsidR="0097758D" w:rsidRPr="00DF0D80" w:rsidRDefault="0097758D" w:rsidP="0097758D">
      <w:pPr>
        <w:rPr>
          <w:rFonts w:ascii="Times New Roman" w:hAnsi="Times New Roman" w:cs="Times New Roman"/>
          <w:sz w:val="28"/>
          <w:szCs w:val="28"/>
        </w:rPr>
      </w:pPr>
      <w:bookmarkStart w:id="0" w:name="_GoBack"/>
      <w:bookmarkEnd w:id="0"/>
    </w:p>
    <w:sectPr w:rsidR="0097758D" w:rsidRPr="00DF0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80"/>
    <w:rsid w:val="001C73B4"/>
    <w:rsid w:val="00285C9C"/>
    <w:rsid w:val="005210E7"/>
    <w:rsid w:val="0097758D"/>
    <w:rsid w:val="00DF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426B"/>
  <w15:chartTrackingRefBased/>
  <w15:docId w15:val="{E4D19592-B4BF-48E6-9834-62D058B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5210E7"/>
    <w:pPr>
      <w:keepNext/>
      <w:keepLines/>
      <w:spacing w:before="240" w:after="0"/>
      <w:outlineLvl w:val="0"/>
    </w:pPr>
    <w:rPr>
      <w:rFonts w:ascii="Times New Roman" w:eastAsiaTheme="majorEastAsia" w:hAnsi="Times New Roman" w:cstheme="majorBidi"/>
      <w:b/>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0E7"/>
    <w:rPr>
      <w:rFonts w:ascii="Times New Roman" w:eastAsiaTheme="majorEastAsia" w:hAnsi="Times New Roman" w:cstheme="majorBidi"/>
      <w:b/>
      <w:color w:val="2F5496" w:themeColor="accent1" w:themeShade="BF"/>
      <w:sz w:val="36"/>
      <w:szCs w:val="32"/>
    </w:rPr>
  </w:style>
  <w:style w:type="table" w:styleId="TableGrid">
    <w:name w:val="Table Grid"/>
    <w:basedOn w:val="TableNormal"/>
    <w:uiPriority w:val="39"/>
    <w:rsid w:val="00DF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93">
      <w:bodyDiv w:val="1"/>
      <w:marLeft w:val="0"/>
      <w:marRight w:val="0"/>
      <w:marTop w:val="0"/>
      <w:marBottom w:val="0"/>
      <w:divBdr>
        <w:top w:val="none" w:sz="0" w:space="0" w:color="auto"/>
        <w:left w:val="none" w:sz="0" w:space="0" w:color="auto"/>
        <w:bottom w:val="none" w:sz="0" w:space="0" w:color="auto"/>
        <w:right w:val="none" w:sz="0" w:space="0" w:color="auto"/>
      </w:divBdr>
    </w:div>
    <w:div w:id="99110083">
      <w:bodyDiv w:val="1"/>
      <w:marLeft w:val="0"/>
      <w:marRight w:val="0"/>
      <w:marTop w:val="0"/>
      <w:marBottom w:val="0"/>
      <w:divBdr>
        <w:top w:val="none" w:sz="0" w:space="0" w:color="auto"/>
        <w:left w:val="none" w:sz="0" w:space="0" w:color="auto"/>
        <w:bottom w:val="none" w:sz="0" w:space="0" w:color="auto"/>
        <w:right w:val="none" w:sz="0" w:space="0" w:color="auto"/>
      </w:divBdr>
    </w:div>
    <w:div w:id="315107490">
      <w:bodyDiv w:val="1"/>
      <w:marLeft w:val="0"/>
      <w:marRight w:val="0"/>
      <w:marTop w:val="0"/>
      <w:marBottom w:val="0"/>
      <w:divBdr>
        <w:top w:val="none" w:sz="0" w:space="0" w:color="auto"/>
        <w:left w:val="none" w:sz="0" w:space="0" w:color="auto"/>
        <w:bottom w:val="none" w:sz="0" w:space="0" w:color="auto"/>
        <w:right w:val="none" w:sz="0" w:space="0" w:color="auto"/>
      </w:divBdr>
    </w:div>
    <w:div w:id="400098830">
      <w:bodyDiv w:val="1"/>
      <w:marLeft w:val="0"/>
      <w:marRight w:val="0"/>
      <w:marTop w:val="0"/>
      <w:marBottom w:val="0"/>
      <w:divBdr>
        <w:top w:val="none" w:sz="0" w:space="0" w:color="auto"/>
        <w:left w:val="none" w:sz="0" w:space="0" w:color="auto"/>
        <w:bottom w:val="none" w:sz="0" w:space="0" w:color="auto"/>
        <w:right w:val="none" w:sz="0" w:space="0" w:color="auto"/>
      </w:divBdr>
    </w:div>
    <w:div w:id="432484371">
      <w:bodyDiv w:val="1"/>
      <w:marLeft w:val="0"/>
      <w:marRight w:val="0"/>
      <w:marTop w:val="0"/>
      <w:marBottom w:val="0"/>
      <w:divBdr>
        <w:top w:val="none" w:sz="0" w:space="0" w:color="auto"/>
        <w:left w:val="none" w:sz="0" w:space="0" w:color="auto"/>
        <w:bottom w:val="none" w:sz="0" w:space="0" w:color="auto"/>
        <w:right w:val="none" w:sz="0" w:space="0" w:color="auto"/>
      </w:divBdr>
    </w:div>
    <w:div w:id="676885280">
      <w:bodyDiv w:val="1"/>
      <w:marLeft w:val="0"/>
      <w:marRight w:val="0"/>
      <w:marTop w:val="0"/>
      <w:marBottom w:val="0"/>
      <w:divBdr>
        <w:top w:val="none" w:sz="0" w:space="0" w:color="auto"/>
        <w:left w:val="none" w:sz="0" w:space="0" w:color="auto"/>
        <w:bottom w:val="none" w:sz="0" w:space="0" w:color="auto"/>
        <w:right w:val="none" w:sz="0" w:space="0" w:color="auto"/>
      </w:divBdr>
    </w:div>
    <w:div w:id="703672008">
      <w:bodyDiv w:val="1"/>
      <w:marLeft w:val="0"/>
      <w:marRight w:val="0"/>
      <w:marTop w:val="0"/>
      <w:marBottom w:val="0"/>
      <w:divBdr>
        <w:top w:val="none" w:sz="0" w:space="0" w:color="auto"/>
        <w:left w:val="none" w:sz="0" w:space="0" w:color="auto"/>
        <w:bottom w:val="none" w:sz="0" w:space="0" w:color="auto"/>
        <w:right w:val="none" w:sz="0" w:space="0" w:color="auto"/>
      </w:divBdr>
    </w:div>
    <w:div w:id="747457024">
      <w:bodyDiv w:val="1"/>
      <w:marLeft w:val="0"/>
      <w:marRight w:val="0"/>
      <w:marTop w:val="0"/>
      <w:marBottom w:val="0"/>
      <w:divBdr>
        <w:top w:val="none" w:sz="0" w:space="0" w:color="auto"/>
        <w:left w:val="none" w:sz="0" w:space="0" w:color="auto"/>
        <w:bottom w:val="none" w:sz="0" w:space="0" w:color="auto"/>
        <w:right w:val="none" w:sz="0" w:space="0" w:color="auto"/>
      </w:divBdr>
    </w:div>
    <w:div w:id="807741699">
      <w:bodyDiv w:val="1"/>
      <w:marLeft w:val="0"/>
      <w:marRight w:val="0"/>
      <w:marTop w:val="0"/>
      <w:marBottom w:val="0"/>
      <w:divBdr>
        <w:top w:val="none" w:sz="0" w:space="0" w:color="auto"/>
        <w:left w:val="none" w:sz="0" w:space="0" w:color="auto"/>
        <w:bottom w:val="none" w:sz="0" w:space="0" w:color="auto"/>
        <w:right w:val="none" w:sz="0" w:space="0" w:color="auto"/>
      </w:divBdr>
    </w:div>
    <w:div w:id="855772908">
      <w:bodyDiv w:val="1"/>
      <w:marLeft w:val="0"/>
      <w:marRight w:val="0"/>
      <w:marTop w:val="0"/>
      <w:marBottom w:val="0"/>
      <w:divBdr>
        <w:top w:val="none" w:sz="0" w:space="0" w:color="auto"/>
        <w:left w:val="none" w:sz="0" w:space="0" w:color="auto"/>
        <w:bottom w:val="none" w:sz="0" w:space="0" w:color="auto"/>
        <w:right w:val="none" w:sz="0" w:space="0" w:color="auto"/>
      </w:divBdr>
    </w:div>
    <w:div w:id="1128935974">
      <w:bodyDiv w:val="1"/>
      <w:marLeft w:val="0"/>
      <w:marRight w:val="0"/>
      <w:marTop w:val="0"/>
      <w:marBottom w:val="0"/>
      <w:divBdr>
        <w:top w:val="none" w:sz="0" w:space="0" w:color="auto"/>
        <w:left w:val="none" w:sz="0" w:space="0" w:color="auto"/>
        <w:bottom w:val="none" w:sz="0" w:space="0" w:color="auto"/>
        <w:right w:val="none" w:sz="0" w:space="0" w:color="auto"/>
      </w:divBdr>
    </w:div>
    <w:div w:id="1209955473">
      <w:bodyDiv w:val="1"/>
      <w:marLeft w:val="0"/>
      <w:marRight w:val="0"/>
      <w:marTop w:val="0"/>
      <w:marBottom w:val="0"/>
      <w:divBdr>
        <w:top w:val="none" w:sz="0" w:space="0" w:color="auto"/>
        <w:left w:val="none" w:sz="0" w:space="0" w:color="auto"/>
        <w:bottom w:val="none" w:sz="0" w:space="0" w:color="auto"/>
        <w:right w:val="none" w:sz="0" w:space="0" w:color="auto"/>
      </w:divBdr>
    </w:div>
    <w:div w:id="1222406536">
      <w:bodyDiv w:val="1"/>
      <w:marLeft w:val="0"/>
      <w:marRight w:val="0"/>
      <w:marTop w:val="0"/>
      <w:marBottom w:val="0"/>
      <w:divBdr>
        <w:top w:val="none" w:sz="0" w:space="0" w:color="auto"/>
        <w:left w:val="none" w:sz="0" w:space="0" w:color="auto"/>
        <w:bottom w:val="none" w:sz="0" w:space="0" w:color="auto"/>
        <w:right w:val="none" w:sz="0" w:space="0" w:color="auto"/>
      </w:divBdr>
    </w:div>
    <w:div w:id="1508055402">
      <w:bodyDiv w:val="1"/>
      <w:marLeft w:val="0"/>
      <w:marRight w:val="0"/>
      <w:marTop w:val="0"/>
      <w:marBottom w:val="0"/>
      <w:divBdr>
        <w:top w:val="none" w:sz="0" w:space="0" w:color="auto"/>
        <w:left w:val="none" w:sz="0" w:space="0" w:color="auto"/>
        <w:bottom w:val="none" w:sz="0" w:space="0" w:color="auto"/>
        <w:right w:val="none" w:sz="0" w:space="0" w:color="auto"/>
      </w:divBdr>
    </w:div>
    <w:div w:id="1590389390">
      <w:bodyDiv w:val="1"/>
      <w:marLeft w:val="0"/>
      <w:marRight w:val="0"/>
      <w:marTop w:val="0"/>
      <w:marBottom w:val="0"/>
      <w:divBdr>
        <w:top w:val="none" w:sz="0" w:space="0" w:color="auto"/>
        <w:left w:val="none" w:sz="0" w:space="0" w:color="auto"/>
        <w:bottom w:val="none" w:sz="0" w:space="0" w:color="auto"/>
        <w:right w:val="none" w:sz="0" w:space="0" w:color="auto"/>
      </w:divBdr>
    </w:div>
    <w:div w:id="1662271448">
      <w:bodyDiv w:val="1"/>
      <w:marLeft w:val="0"/>
      <w:marRight w:val="0"/>
      <w:marTop w:val="0"/>
      <w:marBottom w:val="0"/>
      <w:divBdr>
        <w:top w:val="none" w:sz="0" w:space="0" w:color="auto"/>
        <w:left w:val="none" w:sz="0" w:space="0" w:color="auto"/>
        <w:bottom w:val="none" w:sz="0" w:space="0" w:color="auto"/>
        <w:right w:val="none" w:sz="0" w:space="0" w:color="auto"/>
      </w:divBdr>
    </w:div>
    <w:div w:id="1685592332">
      <w:bodyDiv w:val="1"/>
      <w:marLeft w:val="0"/>
      <w:marRight w:val="0"/>
      <w:marTop w:val="0"/>
      <w:marBottom w:val="0"/>
      <w:divBdr>
        <w:top w:val="none" w:sz="0" w:space="0" w:color="auto"/>
        <w:left w:val="none" w:sz="0" w:space="0" w:color="auto"/>
        <w:bottom w:val="none" w:sz="0" w:space="0" w:color="auto"/>
        <w:right w:val="none" w:sz="0" w:space="0" w:color="auto"/>
      </w:divBdr>
    </w:div>
    <w:div w:id="1781072606">
      <w:bodyDiv w:val="1"/>
      <w:marLeft w:val="0"/>
      <w:marRight w:val="0"/>
      <w:marTop w:val="0"/>
      <w:marBottom w:val="0"/>
      <w:divBdr>
        <w:top w:val="none" w:sz="0" w:space="0" w:color="auto"/>
        <w:left w:val="none" w:sz="0" w:space="0" w:color="auto"/>
        <w:bottom w:val="none" w:sz="0" w:space="0" w:color="auto"/>
        <w:right w:val="none" w:sz="0" w:space="0" w:color="auto"/>
      </w:divBdr>
    </w:div>
    <w:div w:id="1980499273">
      <w:bodyDiv w:val="1"/>
      <w:marLeft w:val="0"/>
      <w:marRight w:val="0"/>
      <w:marTop w:val="0"/>
      <w:marBottom w:val="0"/>
      <w:divBdr>
        <w:top w:val="none" w:sz="0" w:space="0" w:color="auto"/>
        <w:left w:val="none" w:sz="0" w:space="0" w:color="auto"/>
        <w:bottom w:val="none" w:sz="0" w:space="0" w:color="auto"/>
        <w:right w:val="none" w:sz="0" w:space="0" w:color="auto"/>
      </w:divBdr>
    </w:div>
    <w:div w:id="1996446000">
      <w:bodyDiv w:val="1"/>
      <w:marLeft w:val="0"/>
      <w:marRight w:val="0"/>
      <w:marTop w:val="0"/>
      <w:marBottom w:val="0"/>
      <w:divBdr>
        <w:top w:val="none" w:sz="0" w:space="0" w:color="auto"/>
        <w:left w:val="none" w:sz="0" w:space="0" w:color="auto"/>
        <w:bottom w:val="none" w:sz="0" w:space="0" w:color="auto"/>
        <w:right w:val="none" w:sz="0" w:space="0" w:color="auto"/>
      </w:divBdr>
    </w:div>
    <w:div w:id="2049799270">
      <w:bodyDiv w:val="1"/>
      <w:marLeft w:val="0"/>
      <w:marRight w:val="0"/>
      <w:marTop w:val="0"/>
      <w:marBottom w:val="0"/>
      <w:divBdr>
        <w:top w:val="none" w:sz="0" w:space="0" w:color="auto"/>
        <w:left w:val="none" w:sz="0" w:space="0" w:color="auto"/>
        <w:bottom w:val="none" w:sz="0" w:space="0" w:color="auto"/>
        <w:right w:val="none" w:sz="0" w:space="0" w:color="auto"/>
      </w:divBdr>
    </w:div>
    <w:div w:id="21279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chinh/nghi-dinh-ve-ho-hui-bieu-phuong-170756-d1.html" TargetMode="External"/><Relationship Id="rId13" Type="http://schemas.openxmlformats.org/officeDocument/2006/relationships/hyperlink" Target="https://luatvietnam.vn/tai-chinh/cong-van-152-tandtc-pc-toa-an-nhan-dan-toi-cao-173127-d6.html" TargetMode="External"/><Relationship Id="rId3" Type="http://schemas.openxmlformats.org/officeDocument/2006/relationships/webSettings" Target="webSettings.xml"/><Relationship Id="rId7" Type="http://schemas.openxmlformats.org/officeDocument/2006/relationships/hyperlink" Target="https://luatvietnam.vn/tai-chinh/nghi-dinh-93-2019-nd-cp-178539-d1.html" TargetMode="External"/><Relationship Id="rId12" Type="http://schemas.openxmlformats.org/officeDocument/2006/relationships/hyperlink" Target="https://luatvietnam.vn/dat-dai/thong-tu-lien-tich-09-2016-ttlt-btp-btnmt-bo-tu-phap-107150-d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dan-su/nghi-dinh-21-2021-nd-cp-thi-hanh-bo-luat-dan-su-ve-bao-dam-thuc-hien-nghia-vu-199986-d1.html" TargetMode="External"/><Relationship Id="rId11" Type="http://schemas.openxmlformats.org/officeDocument/2006/relationships/hyperlink" Target="https://luatvietnam.vn/tai-chinh/nghi-quyet-01-2019-nq-hdtp-huong-dan-quy-dinh-ve-lai-lai-suat-phat-vi-pham-170790-d1.html" TargetMode="External"/><Relationship Id="rId5" Type="http://schemas.openxmlformats.org/officeDocument/2006/relationships/hyperlink" Target="https://luatvietnam.vn/dan-su/nghi-dinh-13-2023-nd-cp-bao-ve-du-lieu-ca-nhan-249791-d1.html" TargetMode="External"/><Relationship Id="rId15" Type="http://schemas.openxmlformats.org/officeDocument/2006/relationships/theme" Target="theme/theme1.xml"/><Relationship Id="rId10" Type="http://schemas.openxmlformats.org/officeDocument/2006/relationships/hyperlink" Target="https://luatvietnam.vn/dan-su/nghi-quyet-02-2022-nq-hdtp-hoi-dong-tham-phan-toa-an-nhan-dan-toi-cao-239844-d1.html" TargetMode="External"/><Relationship Id="rId4" Type="http://schemas.openxmlformats.org/officeDocument/2006/relationships/hyperlink" Target="https://luatvietnam.vn/tu-phap/nghi-dinh-99-2022-nd-cp-ve-dang-ky-bien-phap-bao-dam-236809-d1.html" TargetMode="External"/><Relationship Id="rId9" Type="http://schemas.openxmlformats.org/officeDocument/2006/relationships/hyperlink" Target="https://luatvietnam.vn/tu-phap/nghi-dinh-102-2017-nd-cp-chinh-phu-116742-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2024-09-17T03:31:00Z</dcterms:created>
  <dcterms:modified xsi:type="dcterms:W3CDTF">2024-09-17T05:00:00Z</dcterms:modified>
</cp:coreProperties>
</file>