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06" w:rsidRPr="00074DDC" w:rsidRDefault="00C1334C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QCVN 11:2024/BGTVT</w:t>
      </w:r>
    </w:p>
    <w:p w:rsidR="00074DDC" w:rsidRPr="00074DDC" w:rsidRDefault="00C1334C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QUY CHUẨN KỸ THUẬT QUỐC GIA </w:t>
      </w:r>
    </w:p>
    <w:p w:rsidR="00074DDC" w:rsidRPr="00074DDC" w:rsidRDefault="00C1334C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VỀ CHẤT LƯỢNG AN TOÀN KỸ THUẬT VÀ BẢO VỆ </w:t>
      </w:r>
    </w:p>
    <w:p w:rsidR="00FB3A06" w:rsidRPr="00074DDC" w:rsidRDefault="00C1334C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MÔI TRƯỜNG ĐỐI VỚI RƠ MOÓC VÀ SƠ MI RƠ MOÓC</w:t>
      </w:r>
    </w:p>
    <w:p w:rsidR="00074DDC" w:rsidRP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074DDC">
        <w:rPr>
          <w:rFonts w:ascii="Arial" w:hAnsi="Arial" w:cs="Arial"/>
          <w:b/>
          <w:i/>
          <w:sz w:val="20"/>
          <w:szCs w:val="20"/>
        </w:rPr>
        <w:t>National technical regulation on</w:t>
      </w:r>
      <w:r w:rsidR="00C1334C" w:rsidRPr="00074DD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074DDC">
        <w:rPr>
          <w:rFonts w:ascii="Arial" w:hAnsi="Arial" w:cs="Arial"/>
          <w:b/>
          <w:i/>
          <w:sz w:val="20"/>
          <w:szCs w:val="20"/>
        </w:rPr>
        <w:t>safety and environmental protection for trailer and semi-trailer</w:t>
      </w:r>
    </w:p>
    <w:p w:rsidR="00C1334C" w:rsidRPr="00074DDC" w:rsidRDefault="00C1334C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LỜI NÓI ĐẦU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QCVN 11:2024/BGTVT do Cục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Việt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Nam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biên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soạn, Vụ Khoa học - Công nghệ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Môi trường trình duyệt,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Khoa học</w:t>
      </w:r>
      <w:r w:rsidR="00BB4955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- 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thẩm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trưởng 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ban 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 Thông tư số 48/2024/TT-BGTVT ngày 15 tháng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11 năm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2024.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QCVN 11:2024/BGTVT thay thế QCVN 11:2015/BGTVT.</w:t>
      </w:r>
    </w:p>
    <w:p w:rsidR="00BB4955" w:rsidRDefault="00BB4955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074DDC" w:rsidRPr="00074DDC" w:rsidRDefault="00074DDC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QUY CHUẨN KỸ THUẬT QUỐC GIA</w:t>
      </w:r>
      <w:r w:rsidR="00BB4955" w:rsidRPr="00074DDC">
        <w:rPr>
          <w:rFonts w:ascii="Arial" w:hAnsi="Arial" w:cs="Arial"/>
          <w:b/>
          <w:sz w:val="20"/>
          <w:szCs w:val="20"/>
        </w:rPr>
        <w:t xml:space="preserve"> </w:t>
      </w:r>
    </w:p>
    <w:p w:rsid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VỀ CHẤT LƯỢNG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 xml:space="preserve">AN TOÀN KỸ THUẬT VÀ BẢO VỆ 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MÔI TRƯỜNG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ĐỐI VỚI RƠ MOÓC VÀ SƠ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MI RƠ MOÓC</w:t>
      </w:r>
    </w:p>
    <w:p w:rsid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074DDC">
        <w:rPr>
          <w:rFonts w:ascii="Arial" w:hAnsi="Arial" w:cs="Arial"/>
          <w:b/>
          <w:i/>
          <w:sz w:val="20"/>
          <w:szCs w:val="20"/>
        </w:rPr>
        <w:t>National technical regulation on</w:t>
      </w:r>
      <w:r w:rsidR="00BB4955" w:rsidRPr="00074DD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FB3A06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074DDC">
        <w:rPr>
          <w:rFonts w:ascii="Arial" w:hAnsi="Arial" w:cs="Arial"/>
          <w:b/>
          <w:i/>
          <w:sz w:val="20"/>
          <w:szCs w:val="20"/>
        </w:rPr>
        <w:t>safety and environmental protection for trailer and semi-trailer</w:t>
      </w:r>
    </w:p>
    <w:p w:rsidR="00074DDC" w:rsidRPr="00074DDC" w:rsidRDefault="00074DDC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BB4955" w:rsidRPr="00074DDC" w:rsidRDefault="00BB4955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 QUY ĐỊNH CHUNG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1.1. Phạm vi điều chỉnh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chuẩn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về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 tra,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nghiệm, 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sản xuất, lắp ráp và nhập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khẩu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rơ moóc,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mới (sau đây gọi là xe).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1.2. Đối tượng áp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dụng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Quy chuẩn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với: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sở sản xuất,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ráp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nước, tổ chức, cá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khẩu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xe;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tổ chức, cá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lý,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 tra,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đối với xe.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 Giải thích từ ngữ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1.3.1.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ngữ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về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thước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nghĩa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TCVN</w:t>
      </w:r>
      <w:r w:rsidR="00782ECF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6528:1999 </w:t>
      </w:r>
      <w:r w:rsidRPr="00074DDC">
        <w:rPr>
          <w:rFonts w:ascii="Arial" w:hAnsi="Arial" w:cs="Arial"/>
          <w:i/>
          <w:sz w:val="20"/>
          <w:szCs w:val="20"/>
        </w:rPr>
        <w:t>“Phương tiện giao 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đường bộ - Kích thước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phương tiện có động cơ và phương tiện được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kéo - Thuật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ngữ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và định nghĩa”.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ngữ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về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nghĩa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TCVN</w:t>
      </w:r>
      <w:r w:rsidR="00CF4D1B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6529:1999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“Phương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tiện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giao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đường bộ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-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Khối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lượng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-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Thuật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ngữ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định nghĩa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và mã hiệu”.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ngữ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1.3.3.1.</w:t>
      </w:r>
      <w:r w:rsidRPr="00074DDC">
        <w:rPr>
          <w:rFonts w:ascii="Arial" w:hAnsi="Arial" w:cs="Arial"/>
          <w:sz w:val="20"/>
          <w:szCs w:val="20"/>
        </w:rPr>
        <w:t xml:space="preserve"> Trục đơn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(Single axle): chỉ gồm một trục xe.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1.3.3.2.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kép (Tandem axle group):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 nhóm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gồm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 trục có 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 2 tâm trục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 m.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1.3.3.3.</w:t>
      </w:r>
      <w:r w:rsidRPr="00074DDC">
        <w:rPr>
          <w:rFonts w:ascii="Arial" w:hAnsi="Arial" w:cs="Arial"/>
          <w:sz w:val="20"/>
          <w:szCs w:val="20"/>
        </w:rPr>
        <w:t xml:space="preserve"> 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(Tri-axle group):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 nhóm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gồm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khoảng cách giữa 2 tâm trục ngoài 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3,2 m.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1.3.3.4. </w:t>
      </w:r>
      <w:r w:rsidRPr="00074DDC">
        <w:rPr>
          <w:rFonts w:ascii="Arial" w:hAnsi="Arial" w:cs="Arial"/>
          <w:sz w:val="20"/>
          <w:szCs w:val="20"/>
        </w:rPr>
        <w:t>Trục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hướng (Steering Axle):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 trục có lắp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khiển 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nhằm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thay đổi hướng chuyển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và được điều khiển bởi người lái xe.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1.3.3.5.</w:t>
      </w:r>
      <w:r w:rsidRPr="00074DDC">
        <w:rPr>
          <w:rFonts w:ascii="Arial" w:hAnsi="Arial" w:cs="Arial"/>
          <w:sz w:val="20"/>
          <w:szCs w:val="20"/>
        </w:rPr>
        <w:t xml:space="preserve"> 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hướng kép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(Twin-steer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axle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group):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nhóm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gồm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 trục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hướng lắp lốp đơn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 2 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 m, các 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liên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dẫn hướng.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1.3.3.6.</w:t>
      </w:r>
      <w:r w:rsidRPr="00074DDC">
        <w:rPr>
          <w:rFonts w:ascii="Arial" w:hAnsi="Arial" w:cs="Arial"/>
          <w:sz w:val="20"/>
          <w:szCs w:val="20"/>
        </w:rPr>
        <w:t xml:space="preserve"> 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 (Lift Axle): là trục 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đó có lắp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bị có 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chỉnh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lên khỏi mặt đường bởi người lái xe.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lastRenderedPageBreak/>
        <w:t>1.3.3.7.</w:t>
      </w:r>
      <w:r w:rsidRPr="00074DDC">
        <w:rPr>
          <w:rFonts w:ascii="Arial" w:hAnsi="Arial" w:cs="Arial"/>
          <w:sz w:val="20"/>
          <w:szCs w:val="20"/>
        </w:rPr>
        <w:t xml:space="preserve"> Trục tự lựa (Self-steering axle): là một trục có 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xe, có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 khí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khiển 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tự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chỉnh hướng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hướng chuyển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1.3.3.8.</w:t>
      </w:r>
      <w:r w:rsidRPr="00074DDC">
        <w:rPr>
          <w:rFonts w:ascii="Arial" w:hAnsi="Arial" w:cs="Arial"/>
          <w:sz w:val="20"/>
          <w:szCs w:val="20"/>
        </w:rPr>
        <w:t xml:space="preserve"> 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kiểu mô đun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(Modular trailers): là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ghép, nối dùng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 nối với thiết bị 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nối ghép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 đun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nhau, có 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vận 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 trong hai hướng, dưới dạng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 mô đun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nhiều mô đun.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1.3.3.9.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(Recreational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trailer/semi trailer): là loại xe được thiết kế có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 sinh 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tối thiểu bao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gồm: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 ngủ,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 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ăn,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 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sinh, bàn,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ghế, tủ chứa đồ khác.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1.3.3.10.</w:t>
      </w:r>
      <w:r w:rsidRPr="00074DDC">
        <w:rPr>
          <w:rFonts w:ascii="Arial" w:hAnsi="Arial" w:cs="Arial"/>
          <w:sz w:val="20"/>
          <w:szCs w:val="20"/>
        </w:rPr>
        <w:t xml:space="preserve"> 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lều trại lưu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(Camping trailers, travel trailers): là rơ moóc có mui cứng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mui mềm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thể gấp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lại được khi di chuyển, trên xe được trang bị chỗ ngủ và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bị phục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vụ cho việc dã ngoại.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 QUY ĐỊNH KỸ THUẬT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 Kích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thước cho phép lớn nhất:</w:t>
      </w:r>
    </w:p>
    <w:p w:rsidR="00647B60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800600" cy="329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6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1a.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Cách xác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định kích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thước rơ moóc</w:t>
      </w:r>
    </w:p>
    <w:p w:rsidR="00074DDC" w:rsidRPr="00074DDC" w:rsidRDefault="00074DDC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647B60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24400" cy="1609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1b.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Cách xác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định kích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thước sơ mi rơ moóc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đó: L - Chiều dài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bộ; LCS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- Chiều dài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sở; ROH - Chiều dài đuôi xe 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toán;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WT - 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 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tiếp xúc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 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với mặt đường,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sau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(hình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1a)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 tâm vết tiếp xúc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 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sau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 với 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đường,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sau lắp 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kép (hình 1b).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 dài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(L) phải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2.1.1.1.</w:t>
      </w:r>
      <w:r w:rsidRPr="00074DDC">
        <w:rPr>
          <w:rFonts w:ascii="Arial" w:hAnsi="Arial" w:cs="Arial"/>
          <w:sz w:val="20"/>
          <w:szCs w:val="20"/>
        </w:rPr>
        <w:t xml:space="preserve"> Đối với rơ moóc: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12 m (đã bao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gồm cơ 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kéo) (hình 1a).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2.1.1.2.</w:t>
      </w:r>
      <w:r w:rsidRPr="00074DDC">
        <w:rPr>
          <w:rFonts w:ascii="Arial" w:hAnsi="Arial" w:cs="Arial"/>
          <w:sz w:val="20"/>
          <w:szCs w:val="20"/>
        </w:rPr>
        <w:t xml:space="preserve"> 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từ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phẳng vuông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phẳng trung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tuyến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dọc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 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 sau 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(KR)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12,3 m (hình 1b).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2.1.1.3.</w:t>
      </w:r>
      <w:r w:rsidRPr="00074DDC">
        <w:rPr>
          <w:rFonts w:ascii="Arial" w:hAnsi="Arial" w:cs="Arial"/>
          <w:sz w:val="20"/>
          <w:szCs w:val="20"/>
        </w:rPr>
        <w:t xml:space="preserve"> Một số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 thể được quy định 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Bảng 1. Chiều dài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lớn nhất của xe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7121"/>
        <w:gridCol w:w="1250"/>
      </w:tblGrid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TT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Loại</w:t>
            </w:r>
            <w:r w:rsidR="00C1334C" w:rsidRPr="00074D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>phương tiện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Chiều dài lớn nhất (m)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Rơ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đổ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có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tổng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số 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hai và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có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khối lượng toàn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bộ cho phép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lớn nhất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từ 10 tấn trở lên (không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bao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gồm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cơ cấu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kéo);</w:t>
            </w:r>
          </w:p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 rơ 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một trục.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Rơ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có tổng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số trục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(không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bao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gồm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cơ cấu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kéo);</w:t>
            </w:r>
          </w:p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 rơ 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có tổng số trục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hai.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Rơ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có tổng số trục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bốn (không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bao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gồm cơ cấu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kéo);</w:t>
            </w:r>
          </w:p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 rơ 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có tổng số trục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ba.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9,3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Rơ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tự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đổ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có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tổng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số 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năm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(không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bao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gồm cơ cấu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kéo);</w:t>
            </w:r>
          </w:p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 rơ 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có tổng số trục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bốn.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 rơ 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tải; 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 rơ 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có mui; 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 rơ 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thùng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kín; 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 rơ 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bảo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ôn.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</w:tr>
    </w:tbl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 rộng (W):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2,5 m.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 cao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(H):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4,0 m.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Đối với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 xe có khối lượng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thiết kế 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5,0 tấn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 (trừ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dùng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nhô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do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ten,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cột thu phát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sóng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bị có kết 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tương tự nhưng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ảnh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hưởng đến tính ổn định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xe) phải 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H ≤ 1,75 W</w:t>
      </w:r>
      <w:r w:rsidRPr="00074DDC">
        <w:rPr>
          <w:rFonts w:ascii="Arial" w:hAnsi="Arial" w:cs="Arial"/>
          <w:sz w:val="20"/>
          <w:szCs w:val="20"/>
          <w:vertAlign w:val="subscript"/>
        </w:rPr>
        <w:t>T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đuôi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(ROH)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phẳng thẳng đứng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nhóm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(đường ROH)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thỏa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(không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dùng):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60% chiều dài cơ sở tính toán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(LCS).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đó: chiều dài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sở tính toán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(LCS) là 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từ đường ROH tới 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phẳng thẳng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 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lỗ 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(đối với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một trục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 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trục)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tới 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phẳng thẳng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 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 thứ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(đối với rơ moóc)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 vị trí thẳng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(đối 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(hình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2).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Việc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ROH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 nguyên tắc sau đây: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2.1.4.1. </w:t>
      </w:r>
      <w:r w:rsidRPr="00074DDC">
        <w:rPr>
          <w:rFonts w:ascii="Arial" w:hAnsi="Arial" w:cs="Arial"/>
          <w:sz w:val="20"/>
          <w:szCs w:val="20"/>
        </w:rPr>
        <w:t>Đối với trục sau là trục đơn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đường ROH đi 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tâm trục đó;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2.1.4.2.</w:t>
      </w:r>
      <w:r w:rsidRPr="00074DDC">
        <w:rPr>
          <w:rFonts w:ascii="Arial" w:hAnsi="Arial" w:cs="Arial"/>
          <w:sz w:val="20"/>
          <w:szCs w:val="20"/>
        </w:rPr>
        <w:t xml:space="preserve"> Đối với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có 2 trục sau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kép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 trục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lốp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nhau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đường ROH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trục;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nếu một trục lắp gấp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đôi số lượng lốp so với trục còn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lại thì đường ROH 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 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 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 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từ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lốp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ít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lốp nhiều hơn;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2.1.4.3.</w:t>
      </w:r>
      <w:r w:rsidRPr="00074DDC">
        <w:rPr>
          <w:rFonts w:ascii="Arial" w:hAnsi="Arial" w:cs="Arial"/>
          <w:sz w:val="20"/>
          <w:szCs w:val="20"/>
        </w:rPr>
        <w:t xml:space="preserve"> 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 thì đường ROH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 tâm trục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 cùng;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2.1.4.4.</w:t>
      </w:r>
      <w:r w:rsidRPr="00074DDC">
        <w:rPr>
          <w:rFonts w:ascii="Arial" w:hAnsi="Arial" w:cs="Arial"/>
          <w:sz w:val="20"/>
          <w:szCs w:val="20"/>
        </w:rPr>
        <w:t xml:space="preserve">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sau gồm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hướng, trục tự lựa, 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 kết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hướng) thì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chỉ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dẫn hướng được xem xét trong việc xác định đường ROH.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Việc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 dài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sở 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(Lcs), đường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ROH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 thể được nêu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 Bảng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</w:t>
      </w:r>
    </w:p>
    <w:p w:rsidR="00C64AA1" w:rsidRPr="00074DDC" w:rsidRDefault="00101DC2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19650" cy="428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AA1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67200" cy="1571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2. 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minh họa một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số cách xác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định</w:t>
      </w:r>
      <w:r w:rsidR="00C64AA1" w:rsidRPr="00074DDC">
        <w:rPr>
          <w:rFonts w:ascii="Arial" w:hAnsi="Arial" w:cs="Arial"/>
          <w:b/>
          <w:sz w:val="20"/>
          <w:szCs w:val="20"/>
        </w:rPr>
        <w:t xml:space="preserve"> </w:t>
      </w:r>
    </w:p>
    <w:p w:rsidR="00FB3A06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chiều dài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cơ sở tính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toán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(Lcs) và đường ROH</w:t>
      </w:r>
    </w:p>
    <w:p w:rsidR="00074DDC" w:rsidRPr="00074DDC" w:rsidRDefault="00074DDC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FB3A06" w:rsidRP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Bảng 2. Nguyên tắc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xác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định đường ROH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398"/>
        <w:gridCol w:w="390"/>
        <w:gridCol w:w="2593"/>
      </w:tblGrid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3208" w:type="pct"/>
            <w:gridSpan w:val="2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Nguyên tắc</w:t>
            </w:r>
            <w:r w:rsidR="00C1334C" w:rsidRPr="00074D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>xác</w:t>
            </w:r>
            <w:r w:rsidR="00C1334C" w:rsidRPr="00074D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>định đường ROH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Mô tả hình vẽ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8" w:type="pct"/>
            <w:gridSpan w:val="2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Trường hợp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chỉ có 01 trục sau và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là trục dẫn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hướng thì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đường ROH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là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đường đi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qua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tâm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 đó.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B3A06" w:rsidRPr="00074DDC" w:rsidRDefault="00101DC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14350" cy="4286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8" w:type="pct"/>
            <w:gridSpan w:val="2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Trường hợp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có cụm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 kép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ở phía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sau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là trục dẫn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hướng và mỗi trục lắp có số lượng lốp bằng nhau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thì đường ROH đi qua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điểm giữa 2 tâm trục đó.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B3A06" w:rsidRPr="00074DDC" w:rsidRDefault="00101DC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85800" cy="6762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8" w:type="pct"/>
            <w:gridSpan w:val="2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Trường hợp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có cụm trục kép ở phía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sau,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là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dẫn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hướng và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có một 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lắp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lốp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với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số lượng lốp gấp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02 lần so với trục còn lại thì đường ROH đi qua điểm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2 phần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3 khoảng cách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từ tâm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 có số lốp ít hơn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đến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tâm trục có số lốp nhiều hơn.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B3A06" w:rsidRPr="00074DDC" w:rsidRDefault="00101DC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6477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08" w:type="pct"/>
            <w:gridSpan w:val="2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Trường hợp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có cụm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 ba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ở phía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sau,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là 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dẫn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hướng và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tất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cả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các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đều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lắp lốp có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số lượng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nhau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thì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đường ROH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qua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tâm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ở giữa.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B3A06" w:rsidRPr="00074DDC" w:rsidRDefault="00101DC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81075" cy="7048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08" w:type="pct"/>
            <w:gridSpan w:val="2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Trường hợp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có một trục dẫn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hướng hoặc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tự lựa đặt ở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phía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sau, cùng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với một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là 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dẫn hướng thì đường ROH đi qua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tâm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của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là trục dẫn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hướng.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B3A06" w:rsidRPr="00074DDC" w:rsidRDefault="00101DC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81125" cy="7524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08" w:type="pct"/>
            <w:gridSpan w:val="2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Trường hợp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có một hoặc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2 trục dẫn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hướng hoặc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tự lựa ở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phía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sau, cùng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với 2 trục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là trục dẫn hướng thì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đường ROH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qua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điểm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giữa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2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tâm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là trục dẫn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hướng.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B3A06" w:rsidRPr="00074DDC" w:rsidRDefault="00101DC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28750" cy="7334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08" w:type="pct"/>
            <w:gridSpan w:val="2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Trường hợp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có một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hoặc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2 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có thể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nâng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lên hạ xuống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(trục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nâng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hạ)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ở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phía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sau, cùng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với một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hoặc nhiều trục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là trục có thể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nâng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thì đường ROH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đi qua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điểm giữa của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tâm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các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trục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là trục nâng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hạ.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FB3A06" w:rsidRPr="00074DDC" w:rsidRDefault="00101DC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52550" cy="9810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vMerge w:val="restar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45" w:type="pct"/>
            <w:gridSpan w:val="3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Trường hợp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có 4 trục và đều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lắp lốp có số lượng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nhau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Nếu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có trục dẫn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hướng: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:rsidR="00FB3A06" w:rsidRPr="00074DDC" w:rsidRDefault="00101DC2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95450" cy="476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Có lắp trục dẫn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hướng: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:rsidR="00FB3A06" w:rsidRPr="00074DDC" w:rsidRDefault="00101DC2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71650" cy="15430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2.2. Tải trọng trục cho phép lớn nhất và khối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lượng cho phép lớn nhất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2.2.1.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 trọng trục cho 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trục: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2.2.1.1.</w:t>
      </w:r>
      <w:r w:rsidRPr="00074DDC">
        <w:rPr>
          <w:rFonts w:ascii="Arial" w:hAnsi="Arial" w:cs="Arial"/>
          <w:sz w:val="20"/>
          <w:szCs w:val="20"/>
        </w:rPr>
        <w:t xml:space="preserve"> Trục đơn:</w:t>
      </w:r>
      <w:r w:rsidR="005137B1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10 tấn.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2.2.1.2.</w:t>
      </w:r>
      <w:r w:rsidRPr="00074DDC">
        <w:rPr>
          <w:rFonts w:ascii="Arial" w:hAnsi="Arial" w:cs="Arial"/>
          <w:sz w:val="20"/>
          <w:szCs w:val="20"/>
        </w:rPr>
        <w:t xml:space="preserve"> Trục kép: phụ thuộc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vào 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 tâm trục d: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2127"/>
        <w:gridCol w:w="1253"/>
        <w:gridCol w:w="2885"/>
      </w:tblGrid>
      <w:tr w:rsidR="00FA5700" w:rsidRPr="00074DDC" w:rsidTr="00074DDC">
        <w:tc>
          <w:tcPr>
            <w:tcW w:w="1530" w:type="pct"/>
            <w:shd w:val="clear" w:color="auto" w:fill="auto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 xml:space="preserve">d &lt; 1,0 m: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11 tấn;</w:t>
            </w:r>
          </w:p>
        </w:tc>
        <w:tc>
          <w:tcPr>
            <w:tcW w:w="1598" w:type="pct"/>
            <w:shd w:val="clear" w:color="auto" w:fill="auto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00" w:rsidRPr="00074DDC" w:rsidTr="00074DDC">
        <w:tc>
          <w:tcPr>
            <w:tcW w:w="1530" w:type="pct"/>
            <w:shd w:val="clear" w:color="auto" w:fill="auto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 xml:space="preserve">1,0 ≤ d &lt; 1,3 m: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16 tấn;</w:t>
            </w:r>
          </w:p>
        </w:tc>
        <w:tc>
          <w:tcPr>
            <w:tcW w:w="1598" w:type="pct"/>
            <w:shd w:val="clear" w:color="auto" w:fill="auto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00" w:rsidRPr="00074DDC" w:rsidTr="00074DDC">
        <w:tc>
          <w:tcPr>
            <w:tcW w:w="1530" w:type="pct"/>
            <w:shd w:val="clear" w:color="auto" w:fill="auto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 xml:space="preserve">d ≥ 1,3 m: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18 tấn.</w:t>
            </w:r>
          </w:p>
        </w:tc>
        <w:tc>
          <w:tcPr>
            <w:tcW w:w="1598" w:type="pct"/>
            <w:shd w:val="clear" w:color="auto" w:fill="auto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2.2.1.3.</w:t>
      </w:r>
      <w:r w:rsidRPr="00074DDC">
        <w:rPr>
          <w:rFonts w:ascii="Arial" w:hAnsi="Arial" w:cs="Arial"/>
          <w:sz w:val="20"/>
          <w:szCs w:val="20"/>
        </w:rPr>
        <w:t xml:space="preserve"> 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 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thuộc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liền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kề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2127"/>
        <w:gridCol w:w="1253"/>
        <w:gridCol w:w="2885"/>
      </w:tblGrid>
      <w:tr w:rsidR="00FA5700" w:rsidRPr="00074DDC" w:rsidTr="00074DDC">
        <w:tc>
          <w:tcPr>
            <w:tcW w:w="1530" w:type="pct"/>
            <w:shd w:val="clear" w:color="auto" w:fill="auto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 xml:space="preserve">d ≤ 1,3 m: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21 tấn;</w:t>
            </w:r>
          </w:p>
        </w:tc>
        <w:tc>
          <w:tcPr>
            <w:tcW w:w="1598" w:type="pct"/>
            <w:shd w:val="clear" w:color="auto" w:fill="auto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700" w:rsidRPr="00074DDC" w:rsidTr="00074DDC">
        <w:tc>
          <w:tcPr>
            <w:tcW w:w="1530" w:type="pct"/>
            <w:shd w:val="clear" w:color="auto" w:fill="auto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d &gt; 1,3 m: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24 tấn.</w:t>
            </w:r>
          </w:p>
        </w:tc>
        <w:tc>
          <w:tcPr>
            <w:tcW w:w="1598" w:type="pct"/>
            <w:shd w:val="clear" w:color="auto" w:fill="auto"/>
          </w:tcPr>
          <w:p w:rsidR="00FA5700" w:rsidRPr="00074DDC" w:rsidRDefault="00FA5700" w:rsidP="00074DDC">
            <w:pPr>
              <w:widowControl w:val="0"/>
              <w:autoSpaceDE w:val="0"/>
              <w:autoSpaceDN w:val="0"/>
              <w:adjustRightInd w:val="0"/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2.2.2.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 lượng phân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bố lên vị trí 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(kingpin)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tải, kể cả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công-ten-nơ (trừ 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công-ten- nơ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 dài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10m)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35%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 lượng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 có tổng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trục từ ba trở lên;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40%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 lượng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 có tổng số trục 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2.3. Khả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năng quay vòng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chuẩn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kích thước vượt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 hạn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tại mục 2.1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 Khung xe và sàn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sàn phải 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đủ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bền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kiện 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bình thường.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công-ten-nơ phải lắp 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 công-ten-nơ với sàn xe.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phù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công-ten-nơ chuyên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tại QCVN 38:2015/BGTVT.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có khối lượng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kế từ 3,5 tấn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trở lên phải lắp 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ở hai 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xe đáp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kiện sau: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2.4.3.1.</w:t>
      </w:r>
      <w:r w:rsidRPr="00074DDC">
        <w:rPr>
          <w:rFonts w:ascii="Arial" w:hAnsi="Arial" w:cs="Arial"/>
          <w:sz w:val="20"/>
          <w:szCs w:val="20"/>
        </w:rPr>
        <w:t xml:space="preserve"> Đối với rào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hai bên: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 Trên 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 chắn,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 ngoài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nằm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vào bên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150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 so với 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khoảng 250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đuôi rào chắn,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nằm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30 mm so với mép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lốp sau (không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biến dạng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lốp do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tiếp xúc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mặt đường) (hình 3);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Điểm 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250 mm;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Điểm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trước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A17793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500 mm;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Điểm cuối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sau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300 mm.</w:t>
      </w:r>
    </w:p>
    <w:p w:rsidR="00FB3A06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10075" cy="18669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3. Vị trí lắp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đặt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rào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chắn bên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2.4.3.2.</w:t>
      </w:r>
      <w:r w:rsidRPr="00074DDC">
        <w:rPr>
          <w:rFonts w:ascii="Arial" w:hAnsi="Arial" w:cs="Arial"/>
          <w:sz w:val="20"/>
          <w:szCs w:val="20"/>
        </w:rPr>
        <w:t xml:space="preserve"> Đối với rào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xe: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 dài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 rộng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Khoảng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 hai điểm 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 phẳng chứa hai thành 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100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mm;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từ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 mặt phẳng chứa 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400 mm (hình 4).</w:t>
      </w:r>
    </w:p>
    <w:p w:rsidR="00FB3A06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72000" cy="1562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09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95800" cy="17811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4. Vị trí lắp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đặt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rào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chắn sau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2.4.3.3. </w:t>
      </w:r>
      <w:r w:rsidRPr="00074DDC">
        <w:rPr>
          <w:rFonts w:ascii="Arial" w:hAnsi="Arial" w:cs="Arial"/>
          <w:sz w:val="20"/>
          <w:szCs w:val="20"/>
        </w:rPr>
        <w:t>Cạnh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700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so với mặt đường. Cạnh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dưới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550 mm.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2.4.3.4.</w:t>
      </w:r>
      <w:r w:rsidRPr="00074DDC">
        <w:rPr>
          <w:rFonts w:ascii="Arial" w:hAnsi="Arial" w:cs="Arial"/>
          <w:sz w:val="20"/>
          <w:szCs w:val="20"/>
        </w:rPr>
        <w:t xml:space="preserve"> Không 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rào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khoảng hở giữa thân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và 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tại vị trí lắp 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700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bố trí các khoảng hở để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dùng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thiết bị chuyên dùng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2.4.3.5.</w:t>
      </w:r>
      <w:r w:rsidRPr="00074DDC">
        <w:rPr>
          <w:rFonts w:ascii="Arial" w:hAnsi="Arial" w:cs="Arial"/>
          <w:sz w:val="20"/>
          <w:szCs w:val="20"/>
        </w:rPr>
        <w:t xml:space="preserve"> 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nhiều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ngang thì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 2 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liền kề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300 mm và 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tương đương nối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nhau. 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chỉ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nhỏ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120 mm.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2.4.3.6.</w:t>
      </w:r>
      <w:r w:rsidRPr="00074DDC">
        <w:rPr>
          <w:rFonts w:ascii="Arial" w:hAnsi="Arial" w:cs="Arial"/>
          <w:sz w:val="20"/>
          <w:szCs w:val="20"/>
        </w:rPr>
        <w:t xml:space="preserve"> Bề mặt ngoài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nhẵn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mịn,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góc,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sắc nhọn.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2.4.3.7.</w:t>
      </w:r>
      <w:r w:rsidRPr="00074DDC">
        <w:rPr>
          <w:rFonts w:ascii="Arial" w:hAnsi="Arial" w:cs="Arial"/>
          <w:sz w:val="20"/>
          <w:szCs w:val="20"/>
        </w:rPr>
        <w:t xml:space="preserve">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gắn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cố định vào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ví dụ 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hộp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quy, bình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khí và hộp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 với điều kiện là chúng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về kích thước nêu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thì được coi là một 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khoảng 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rào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150 mm.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2.4.3.8.</w:t>
      </w:r>
      <w:r w:rsidRPr="00074DDC">
        <w:rPr>
          <w:rFonts w:ascii="Arial" w:hAnsi="Arial" w:cs="Arial"/>
          <w:sz w:val="20"/>
          <w:szCs w:val="20"/>
        </w:rPr>
        <w:t xml:space="preserve"> Đối với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có kích thước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 lượng vượt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 hạn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tại 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2.1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2.2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có khả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dài thì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rào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</w:t>
      </w:r>
      <w:r w:rsidR="002A1B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 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kéo dài.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2.5. Khoang chở hàng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2.5.1.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vững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 hóa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chuyên chở,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có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 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được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 tiết, cụm chi tiết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tới việc làm tăng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thể tích chứa hàng.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2.5.2.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có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1950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 so 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đỗ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thì 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khoá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hãm 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dễ dàng. Đối với 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 tự đổ, 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mở cánh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 bên.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2.5.3.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Thể tích chứa 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xi téc: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2.5.3.1. </w:t>
      </w:r>
      <w:r w:rsidRPr="00074DDC">
        <w:rPr>
          <w:rFonts w:ascii="Arial" w:hAnsi="Arial" w:cs="Arial"/>
          <w:sz w:val="20"/>
          <w:szCs w:val="20"/>
        </w:rPr>
        <w:t>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xi téc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</w:t>
      </w:r>
      <w:r w:rsidRPr="00074DDC">
        <w:rPr>
          <w:rFonts w:ascii="Arial" w:hAnsi="Arial" w:cs="Arial"/>
          <w:sz w:val="20"/>
          <w:szCs w:val="20"/>
          <w:vertAlign w:val="subscript"/>
        </w:rPr>
        <w:t>t</w:t>
      </w:r>
      <w:r w:rsidRPr="00074DDC">
        <w:rPr>
          <w:rFonts w:ascii="Arial" w:hAnsi="Arial" w:cs="Arial"/>
          <w:sz w:val="20"/>
          <w:szCs w:val="20"/>
        </w:rPr>
        <w:t xml:space="preserve"> (không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kích thước hình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học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xi téc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hóa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riêng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hóa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chở nêu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liệu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ngành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trị số 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quan, tổ chức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thẩm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quyền.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hóa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khối lượng riêng biến thiên trong dải trị số thì khối lượng riêng được ghi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 trị trung bình của dải biến thiên.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2.5.3.2.</w:t>
      </w:r>
      <w:r w:rsidRPr="00074DDC">
        <w:rPr>
          <w:rFonts w:ascii="Arial" w:hAnsi="Arial" w:cs="Arial"/>
          <w:sz w:val="20"/>
          <w:szCs w:val="20"/>
        </w:rPr>
        <w:t xml:space="preserve"> 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xi téc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khí hóa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lỏng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 trình vận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nạp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xi téc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kiện về 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suất và nhiệt độ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</w:t>
      </w:r>
      <w:r w:rsidRPr="00074DDC">
        <w:rPr>
          <w:rFonts w:ascii="Arial" w:hAnsi="Arial" w:cs="Arial"/>
          <w:sz w:val="20"/>
          <w:szCs w:val="20"/>
          <w:vertAlign w:val="subscript"/>
        </w:rPr>
        <w:t>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sản xuất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nhưng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0,9V</w:t>
      </w:r>
      <w:r w:rsidRPr="00074DDC">
        <w:rPr>
          <w:rFonts w:ascii="Arial" w:hAnsi="Arial" w:cs="Arial"/>
          <w:sz w:val="20"/>
          <w:szCs w:val="20"/>
          <w:vertAlign w:val="subscript"/>
        </w:rPr>
        <w:t>hh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</w:t>
      </w:r>
      <w:r w:rsidRPr="00074DDC">
        <w:rPr>
          <w:rFonts w:ascii="Arial" w:hAnsi="Arial" w:cs="Arial"/>
          <w:sz w:val="20"/>
          <w:szCs w:val="20"/>
          <w:vertAlign w:val="subscript"/>
        </w:rPr>
        <w:t>hh</w:t>
      </w:r>
      <w:r w:rsidRPr="00074DDC">
        <w:rPr>
          <w:rFonts w:ascii="Arial" w:hAnsi="Arial" w:cs="Arial"/>
          <w:sz w:val="20"/>
          <w:szCs w:val="20"/>
        </w:rPr>
        <w:t xml:space="preserve"> là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xi téc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kích thước hình học 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xi téc).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2.5.3.3.</w:t>
      </w:r>
      <w:r w:rsidRPr="00074DDC">
        <w:rPr>
          <w:rFonts w:ascii="Arial" w:hAnsi="Arial" w:cs="Arial"/>
          <w:sz w:val="20"/>
          <w:szCs w:val="20"/>
        </w:rPr>
        <w:t xml:space="preserve">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liệu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thiệu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kỹ thuật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 trị số thể tích chứa 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 quả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 tra sai khác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10% so với tài liệu giới thiệu tính 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thì thể tích chứa 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 xi téc được xác định 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pháp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đo kiểm thực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tế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2.5.4.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Kích thước 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Bảng 3. Kích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thước thùng hàng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771"/>
        <w:gridCol w:w="1333"/>
        <w:gridCol w:w="1755"/>
        <w:gridCol w:w="1384"/>
      </w:tblGrid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STT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Loại phương tiện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H</w:t>
            </w:r>
            <w:r w:rsidRPr="00074DDC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H</w:t>
            </w:r>
            <w:r w:rsidRPr="00074DDC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Pr="00074DDC">
              <w:rPr>
                <w:rFonts w:ascii="Arial" w:hAnsi="Arial" w:cs="Arial"/>
                <w:sz w:val="20"/>
                <w:szCs w:val="20"/>
              </w:rPr>
              <w:t xml:space="preserve"> (m)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γ</w:t>
            </w:r>
            <w:r w:rsidRPr="00074DDC">
              <w:rPr>
                <w:rFonts w:ascii="Arial" w:hAnsi="Arial" w:cs="Arial"/>
                <w:sz w:val="20"/>
                <w:szCs w:val="20"/>
                <w:vertAlign w:val="subscript"/>
              </w:rPr>
              <w:t>v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(tấn/m3)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Rơ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có tổng số trục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hai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và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có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khối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lượng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toàn bộ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cho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phép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tham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gia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giao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thông từ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10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tấn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trở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lên; 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 rơ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moóc tải tự đổ một trục.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67" w:type="pct"/>
            <w:vMerge w:val="restar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 1,2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Rơ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có tổng số trục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ba;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 rơ 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có tổng số trục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hai.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67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Rơ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có tổng số trục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bốn;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rơ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tự đổ có tổng số trục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ba.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67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Rơ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moóc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tải tự đổ có tổng số trục</w:t>
            </w:r>
            <w:r w:rsidR="005137B1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7B1"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bằng năm; Sơ mi rơ moóc tải tự đổ có tổng số trục bằng bốn.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 1,5</w:t>
            </w:r>
          </w:p>
        </w:tc>
      </w:tr>
      <w:tr w:rsidR="005137B1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5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Rơ moóc tải.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≤ 0,3 W</w:t>
            </w: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---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---</w:t>
            </w:r>
          </w:p>
        </w:tc>
      </w:tr>
      <w:tr w:rsidR="005137B1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6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Sơ mi rơ moóc tải.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≤ 0,45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---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---</w:t>
            </w:r>
          </w:p>
        </w:tc>
      </w:tr>
      <w:tr w:rsidR="005137B1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7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Rơ moóc tải có mui; Rơ moóc tải thùng  kín; Rơ moóc tải bảo  ôn; Rơ moóc tải đông lạnh; Sơ mi rơ moóc tải có mui; Sơ mi rơ moóc tải thùng kín; Sơ mi rơ moóc tải bảo ôn; Sơ mi rơ moóc tải đông lạnh; và các rơ moóc, sơ mi rơ moóc chở  hàng  loại  khác  có  thùng hàng  dạng  thùng  kín hoặc  mui phủ.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---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≤ 1,15 W</w:t>
            </w: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  <w:vertAlign w:val="subscript"/>
              </w:rPr>
              <w:t>T</w:t>
            </w:r>
          </w:p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trừ các loại xe có khối lượng toàn bộ thiết kế lớn nhất không lớn hơn 5,0 tấn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137B1" w:rsidRPr="00074DDC" w:rsidRDefault="005137B1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</w:pPr>
            <w:r w:rsidRPr="00074DDC">
              <w:rPr>
                <w:rStyle w:val="OnceABox"/>
                <w:rFonts w:ascii="Arial" w:hAnsi="Arial" w:cs="Arial"/>
                <w:color w:val="auto"/>
                <w:spacing w:val="0"/>
                <w:sz w:val="20"/>
                <w:szCs w:val="20"/>
              </w:rPr>
              <w:t>---</w:t>
            </w:r>
          </w:p>
        </w:tc>
      </w:tr>
    </w:tbl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Trong đó: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W</w:t>
      </w:r>
      <w:r w:rsidRPr="00074DDC">
        <w:rPr>
          <w:rFonts w:ascii="Arial" w:hAnsi="Arial" w:cs="Arial"/>
          <w:sz w:val="20"/>
          <w:szCs w:val="20"/>
          <w:vertAlign w:val="subscript"/>
        </w:rPr>
        <w:t>T</w:t>
      </w:r>
      <w:r w:rsidRPr="00074DDC">
        <w:rPr>
          <w:rFonts w:ascii="Arial" w:hAnsi="Arial" w:cs="Arial"/>
          <w:sz w:val="20"/>
          <w:szCs w:val="20"/>
        </w:rPr>
        <w:t>: 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xúc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 hai 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sau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 với mặt đường;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H</w:t>
      </w:r>
      <w:r w:rsidRPr="00074DDC">
        <w:rPr>
          <w:rFonts w:ascii="Arial" w:hAnsi="Arial" w:cs="Arial"/>
          <w:sz w:val="20"/>
          <w:szCs w:val="20"/>
          <w:vertAlign w:val="subscript"/>
        </w:rPr>
        <w:t>c</w:t>
      </w:r>
      <w:r w:rsidRPr="00074DDC">
        <w:rPr>
          <w:rFonts w:ascii="Arial" w:hAnsi="Arial" w:cs="Arial"/>
          <w:sz w:val="20"/>
          <w:szCs w:val="20"/>
        </w:rPr>
        <w:t>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bọc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 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H</w:t>
      </w:r>
      <w:r w:rsidRPr="00074DDC">
        <w:rPr>
          <w:rFonts w:ascii="Arial" w:hAnsi="Arial" w:cs="Arial"/>
          <w:sz w:val="20"/>
          <w:szCs w:val="20"/>
          <w:vertAlign w:val="subscript"/>
        </w:rPr>
        <w:t>t</w:t>
      </w:r>
      <w:r w:rsidRPr="00074DDC">
        <w:rPr>
          <w:rFonts w:ascii="Arial" w:hAnsi="Arial" w:cs="Arial"/>
          <w:sz w:val="20"/>
          <w:szCs w:val="20"/>
        </w:rPr>
        <w:t>: chiều cao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lòng 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γ</w:t>
      </w:r>
      <w:r w:rsidRPr="00074DDC">
        <w:rPr>
          <w:rFonts w:ascii="Arial" w:hAnsi="Arial" w:cs="Arial"/>
          <w:sz w:val="20"/>
          <w:szCs w:val="20"/>
          <w:vertAlign w:val="subscript"/>
        </w:rPr>
        <w:t>v</w:t>
      </w:r>
      <w:r w:rsidRPr="00074DDC">
        <w:rPr>
          <w:rFonts w:ascii="Arial" w:hAnsi="Arial" w:cs="Arial"/>
          <w:sz w:val="20"/>
          <w:szCs w:val="20"/>
        </w:rPr>
        <w:t>: khối lượng riêng biểu kiến.</w:t>
      </w:r>
    </w:p>
    <w:p w:rsidR="00FB3A06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90750" cy="18192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5. Kích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thước thùng hàng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2.5.5.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dùng,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khoang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thỏa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tương 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 quy định tại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văn bản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phạm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luật.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2.6. Khoang chở khách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Khoang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khách,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khách,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dây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đai 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khoang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lý, cửa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 xuống,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lối thoát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cấp,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 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phù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QCVN 09:2024/BGTVT “Quy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chuẩn kỹ thuật</w:t>
      </w:r>
      <w:r w:rsidR="009E30B8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quốc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 về 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an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môi trường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xe ô tô“.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2.7. Chân chống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2.7.1.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được 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chân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trước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ở trạng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thái tách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rời khỏi xe ô tô 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chịu được tải 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 nó khi xe ở trạng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thái khối lượng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thiết kế lớn nhất.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2.7.2.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có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khiển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khiển được bố trí 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2.7.2.1.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độc lập;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2.7.2.2. </w:t>
      </w:r>
      <w:r w:rsidRPr="00074DDC">
        <w:rPr>
          <w:rFonts w:ascii="Arial" w:hAnsi="Arial" w:cs="Arial"/>
          <w:sz w:val="20"/>
          <w:szCs w:val="20"/>
        </w:rPr>
        <w:t>Ở 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 tiến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đồng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thời (hoặc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 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một chân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chống);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2.7.3.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chân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sàn thấp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(chiều cao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 sàn chính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1.000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 so với mặt đỗ xe) 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kế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việc ghép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nối với ô tô 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 mà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2.8. Thiết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bị nối,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kéo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và cơ cấu chuyển hướng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2.8.1.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bị nối, 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được lắp 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đủ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bền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vận hành. Cóc hãm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chốt hãm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tự mở.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2.8.2.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hai trục trở lên phải có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 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 để dễ dàng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và tháo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xe kéo.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tiếp xúc với 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khi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rời khỏi xe kéo.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2.8.3.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tĩnh thẳng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 trục 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500 N thì phải có cơ 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 thanh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2.8.4.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hai 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trở lên phải có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hướng. Đối với cơ 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hướng kiểu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xoay,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xoay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hướng phải quay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cả về hai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góc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600.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2.8.5.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Chốt kéo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đáp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2.8.5.1.</w:t>
      </w:r>
      <w:r w:rsidRPr="00074DDC">
        <w:rPr>
          <w:rFonts w:ascii="Arial" w:hAnsi="Arial" w:cs="Arial"/>
          <w:sz w:val="20"/>
          <w:szCs w:val="20"/>
        </w:rPr>
        <w:t xml:space="preserve"> Có kích thước và dung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sai lắp ghép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phù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hiện hành. Đối với 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50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TCVN 7475:2005 </w:t>
      </w:r>
      <w:r w:rsidR="009D182D" w:rsidRPr="00074DDC">
        <w:rPr>
          <w:rFonts w:ascii="Arial" w:hAnsi="Arial" w:cs="Arial"/>
          <w:i/>
          <w:sz w:val="20"/>
          <w:szCs w:val="20"/>
        </w:rPr>
        <w:t>“</w:t>
      </w:r>
      <w:r w:rsidRPr="00074DDC">
        <w:rPr>
          <w:rFonts w:ascii="Arial" w:hAnsi="Arial" w:cs="Arial"/>
          <w:i/>
          <w:sz w:val="20"/>
          <w:szCs w:val="20"/>
        </w:rPr>
        <w:t>Phương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tiện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giao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đường bộ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- Chốt kéo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sơ mi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rơ moóc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cỡ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50 - Kích thước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cơ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bản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và kích thước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lắp đặt/lắp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lẫn</w:t>
      </w:r>
      <w:r w:rsidR="009D182D" w:rsidRPr="00074DDC">
        <w:rPr>
          <w:rFonts w:ascii="Arial" w:hAnsi="Arial" w:cs="Arial"/>
          <w:i/>
          <w:sz w:val="20"/>
          <w:szCs w:val="20"/>
        </w:rPr>
        <w:t>”</w:t>
      </w:r>
      <w:r w:rsidRPr="00074DDC">
        <w:rPr>
          <w:rFonts w:ascii="Arial" w:hAnsi="Arial" w:cs="Arial"/>
          <w:i/>
          <w:sz w:val="20"/>
          <w:szCs w:val="20"/>
        </w:rPr>
        <w:t>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90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TCVN 7476:2005 </w:t>
      </w:r>
      <w:r w:rsidR="001D7047" w:rsidRPr="00074DDC">
        <w:rPr>
          <w:rFonts w:ascii="Arial" w:hAnsi="Arial" w:cs="Arial"/>
          <w:i/>
          <w:sz w:val="20"/>
          <w:szCs w:val="20"/>
        </w:rPr>
        <w:t>“</w:t>
      </w:r>
      <w:r w:rsidRPr="00074DDC">
        <w:rPr>
          <w:rFonts w:ascii="Arial" w:hAnsi="Arial" w:cs="Arial"/>
          <w:i/>
          <w:sz w:val="20"/>
          <w:szCs w:val="20"/>
        </w:rPr>
        <w:t>Phương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tiện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giao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đường bộ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- Chốt kéo sơ mi rơ moóc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cỡ 90 - Tính lắp lẫn</w:t>
      </w:r>
      <w:r w:rsidR="001D7047" w:rsidRPr="00074DDC">
        <w:rPr>
          <w:rFonts w:ascii="Arial" w:hAnsi="Arial" w:cs="Arial"/>
          <w:i/>
          <w:sz w:val="20"/>
          <w:szCs w:val="20"/>
        </w:rPr>
        <w:t>”</w:t>
      </w:r>
      <w:r w:rsidRPr="00074DDC">
        <w:rPr>
          <w:rFonts w:ascii="Arial" w:hAnsi="Arial" w:cs="Arial"/>
          <w:i/>
          <w:sz w:val="20"/>
          <w:szCs w:val="20"/>
        </w:rPr>
        <w:t>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2.8.5.2. </w:t>
      </w:r>
      <w:r w:rsidRPr="00074DDC">
        <w:rPr>
          <w:rFonts w:ascii="Arial" w:hAnsi="Arial" w:cs="Arial"/>
          <w:sz w:val="20"/>
          <w:szCs w:val="20"/>
        </w:rPr>
        <w:t>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tỳ lên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tỳ lên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mâm 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 (hình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6)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1.400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ngắt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 nối với 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kéo;</w:t>
      </w:r>
    </w:p>
    <w:p w:rsidR="00FB3A06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67200" cy="11049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6. Chiều cao mặt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tỳ lên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mâm kéo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của chốt kéo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2.8.5.3.</w:t>
      </w:r>
      <w:r w:rsidRPr="00074DDC">
        <w:rPr>
          <w:rFonts w:ascii="Arial" w:hAnsi="Arial" w:cs="Arial"/>
          <w:sz w:val="20"/>
          <w:szCs w:val="20"/>
        </w:rPr>
        <w:t xml:space="preserve"> Bán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 từ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trước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2.040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 (hình 7);</w:t>
      </w:r>
    </w:p>
    <w:p w:rsidR="00FB3A06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67200" cy="2057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7. Bán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kính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khoảng sáng quay đầu phía trước của sơ mi rơ moóc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2.8.5.4.</w:t>
      </w:r>
      <w:r w:rsidRPr="00074DDC">
        <w:rPr>
          <w:rFonts w:ascii="Arial" w:hAnsi="Arial" w:cs="Arial"/>
          <w:sz w:val="20"/>
          <w:szCs w:val="20"/>
        </w:rPr>
        <w:t xml:space="preserve"> Bán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kính r</w:t>
      </w:r>
      <w:r w:rsidR="00FF7A61" w:rsidRPr="00074DDC">
        <w:rPr>
          <w:rFonts w:ascii="Arial" w:hAnsi="Arial" w:cs="Arial"/>
          <w:sz w:val="20"/>
          <w:szCs w:val="20"/>
          <w:vertAlign w:val="subscript"/>
        </w:rPr>
        <w:t>3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(hình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8) từ 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tới bề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bậc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sàn 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2.300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mm.</w:t>
      </w:r>
    </w:p>
    <w:p w:rsidR="00FB3A06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67200" cy="16859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61" w:rsidRPr="00074DDC" w:rsidRDefault="00FF7A61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 8. Minh họa khoảng cách r</w:t>
      </w:r>
      <w:r w:rsidRPr="00074DDC">
        <w:rPr>
          <w:rFonts w:ascii="Arial" w:hAnsi="Arial" w:cs="Arial"/>
          <w:b/>
          <w:sz w:val="20"/>
          <w:szCs w:val="20"/>
          <w:vertAlign w:val="subscript"/>
        </w:rPr>
        <w:t>3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2.9. Trục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xe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2.9.1.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đủ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bền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kiện 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bình thường.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2.9.2.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có 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 (Lift Axle):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2.9.2.1.</w:t>
      </w:r>
      <w:r w:rsidRPr="00074DDC">
        <w:rPr>
          <w:rFonts w:ascii="Arial" w:hAnsi="Arial" w:cs="Arial"/>
          <w:sz w:val="20"/>
          <w:szCs w:val="20"/>
        </w:rPr>
        <w:t xml:space="preserve"> Xe có thể được 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 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2.9.2.2.</w:t>
      </w:r>
      <w:r w:rsidRPr="00074DDC">
        <w:rPr>
          <w:rFonts w:ascii="Arial" w:hAnsi="Arial" w:cs="Arial"/>
          <w:sz w:val="20"/>
          <w:szCs w:val="20"/>
        </w:rPr>
        <w:t xml:space="preserve"> Đối với xe có 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 để chịu tải: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2.9.2.2.1.</w:t>
      </w:r>
      <w:r w:rsidRPr="00074DDC">
        <w:rPr>
          <w:rFonts w:ascii="Arial" w:hAnsi="Arial" w:cs="Arial"/>
          <w:sz w:val="20"/>
          <w:szCs w:val="20"/>
        </w:rPr>
        <w:t xml:space="preserve">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thiết kế, lắp đặt 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 tự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 xuống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trục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 trục liền kề với 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 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tất cả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 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(bao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gồm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113AD9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 mọi trường hợp;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2.9.2.2.2.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thuộc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tượng 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dành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sự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thẩm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quyền thì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tự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xuống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liền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kề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 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(bao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gồm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 trong mọi trường hợp;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2.9.2.2.3.</w:t>
      </w:r>
      <w:r w:rsidRPr="00074DDC">
        <w:rPr>
          <w:rFonts w:ascii="Arial" w:hAnsi="Arial" w:cs="Arial"/>
          <w:sz w:val="20"/>
          <w:szCs w:val="20"/>
        </w:rPr>
        <w:t xml:space="preserve"> 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 phải tự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 xuống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xe di chuyển (trừ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lùi xe);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2.9.2.2.4.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khiển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được thiết kế và lắp đặt để người 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thể can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thiệp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sai mục đích;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2.9.2.2.5.</w:t>
      </w:r>
      <w:r w:rsidRPr="00074DDC">
        <w:rPr>
          <w:rFonts w:ascii="Arial" w:hAnsi="Arial" w:cs="Arial"/>
          <w:sz w:val="20"/>
          <w:szCs w:val="20"/>
        </w:rPr>
        <w:t xml:space="preserve"> Khối lượng phân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pháp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 toán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tế (Phụ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lục B).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2.9.2.3.</w:t>
      </w:r>
      <w:r w:rsidRPr="00074DDC">
        <w:rPr>
          <w:rFonts w:ascii="Arial" w:hAnsi="Arial" w:cs="Arial"/>
          <w:sz w:val="20"/>
          <w:szCs w:val="20"/>
        </w:rPr>
        <w:t xml:space="preserve"> 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chịu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chính làm tăng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 bám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xe di chuyển 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trơn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trượt,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yếu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 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 trục cố định (không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gồm 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2.10.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Bánh xe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2.10.1.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có kết 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đặt đúng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cách.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2.10.2.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Lốp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kiện 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bình thường phải 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kiểu loại. Lốp phải đủ số lượng, đủ 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suất, 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kỹ thuật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lốp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(cỡ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lốp,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tốc độ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tốc,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chỉ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về 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chịu tải trọng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lốp) phải phù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tài liệu kỹ thuật,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kế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Lốp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QCVN</w:t>
      </w:r>
      <w:r w:rsidR="00F706C2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34:2024/BGTVT "Quy chuẩn 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quốc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 về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lốp hơi dùng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ô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tô" hoặc UNECE No.30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(Uniform provisions concerning the approval of pneumatic tyres for Motor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vehicle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and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their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trailer)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UNECE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No.54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(Uniform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provisions concerning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approval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of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pneumatic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tyres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for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commercial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vehicles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and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their trailers) phiên bản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tương đương với QCVN 34:2024/BGTVT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mới hơn.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2.10.3.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(trừ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dùng).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thỏa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2.10.3.1.</w:t>
      </w:r>
      <w:r w:rsidRPr="00074DDC">
        <w:rPr>
          <w:rFonts w:ascii="Arial" w:hAnsi="Arial" w:cs="Arial"/>
          <w:sz w:val="20"/>
          <w:szCs w:val="20"/>
        </w:rPr>
        <w:t xml:space="preserve"> Bảo 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đất, đá và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vật khác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dưới mặt đường không văng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trực tiếp lên thùng xe trong 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trình hoạt động;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2.10.3.2.</w:t>
      </w:r>
      <w:r w:rsidRPr="00074DDC">
        <w:rPr>
          <w:rFonts w:ascii="Arial" w:hAnsi="Arial" w:cs="Arial"/>
          <w:sz w:val="20"/>
          <w:szCs w:val="20"/>
        </w:rPr>
        <w:t xml:space="preserve"> Góc tạo bởi mặt đỗ xe và mặt phẳng tiếp tuyến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lốp 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và đi 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 thấp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nhất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che 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 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150;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2.10.3.3.</w:t>
      </w:r>
      <w:r w:rsidRPr="00074DDC">
        <w:rPr>
          <w:rFonts w:ascii="Arial" w:hAnsi="Arial" w:cs="Arial"/>
          <w:sz w:val="20"/>
          <w:szCs w:val="20"/>
        </w:rPr>
        <w:t xml:space="preserve"> Chiều rộng không được nhỏ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 rộng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 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2.10.4.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dự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phòng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bố trí ở 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trái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 tiến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Hệ thống phanh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0,75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tấn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 phanh chính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phanh đỗ.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chính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phanh đỗ xe phải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độc lập với nhau.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chính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áp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kiểu mô đun).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đỗ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khiển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 phanh đỗ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bố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trí 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 dễ dàng.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2.11.5.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đỗ phải có khả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duy trì được tính năng phanh mà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lực tác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liên tục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người lái.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2.11.6.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Liên kết điều khiển phanh giữa xe và xe kéo: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2.11.6.1.</w:t>
      </w:r>
      <w:r w:rsidRPr="00074DDC">
        <w:rPr>
          <w:rFonts w:ascii="Arial" w:hAnsi="Arial" w:cs="Arial"/>
          <w:sz w:val="20"/>
          <w:szCs w:val="20"/>
        </w:rPr>
        <w:t xml:space="preserve"> Đối với phanh thủy lực trợ lực khí nén: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có một đường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khí nén chung;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2.11.6.2.</w:t>
      </w:r>
      <w:r w:rsidRPr="00074DDC">
        <w:rPr>
          <w:rFonts w:ascii="Arial" w:hAnsi="Arial" w:cs="Arial"/>
          <w:sz w:val="20"/>
          <w:szCs w:val="20"/>
        </w:rPr>
        <w:t xml:space="preserve"> 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khí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nén: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cung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một đường khí nén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khiển;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2.11.6.3.</w:t>
      </w:r>
      <w:r w:rsidRPr="00074DDC">
        <w:rPr>
          <w:rFonts w:ascii="Arial" w:hAnsi="Arial" w:cs="Arial"/>
          <w:sz w:val="20"/>
          <w:szCs w:val="20"/>
        </w:rPr>
        <w:t xml:space="preserve">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có thêm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trợ khác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ABS thì phải có thêm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 đường điện điều khiển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 trợ.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2.11.7.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Bình chứa khí nén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có 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khí nén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thỏa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 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2.11.7.1.</w:t>
      </w:r>
      <w:r w:rsidRPr="00074DDC">
        <w:rPr>
          <w:rFonts w:ascii="Arial" w:hAnsi="Arial" w:cs="Arial"/>
          <w:sz w:val="20"/>
          <w:szCs w:val="20"/>
        </w:rPr>
        <w:t xml:space="preserve">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van phải 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bình thường;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2.11.7.2.</w:t>
      </w:r>
      <w:r w:rsidRPr="00074DDC">
        <w:rPr>
          <w:rFonts w:ascii="Arial" w:hAnsi="Arial" w:cs="Arial"/>
          <w:sz w:val="20"/>
          <w:szCs w:val="20"/>
        </w:rPr>
        <w:t xml:space="preserve"> Khi xe được nối với xe kéo,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tám lần tác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trình bàn đạp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chính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 phanh tự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đỗ)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kiện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 dưới đây,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suất khí nén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giảm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mức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suất 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tiên;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2.11.7.3.</w:t>
      </w:r>
      <w:r w:rsidRPr="00074DDC">
        <w:rPr>
          <w:rFonts w:ascii="Arial" w:hAnsi="Arial" w:cs="Arial"/>
          <w:sz w:val="20"/>
          <w:szCs w:val="20"/>
        </w:rPr>
        <w:t xml:space="preserve"> Điều kiện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Áp suất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khí nén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thời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lần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tiên phải là 850 kPa;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Không bổ sung thêm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khí nén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 bình chứa trong 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trình thử;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Áp suất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điều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750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kPa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đạp phanh.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2.11.8.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 điều kiện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nguồn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thì 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phải tự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2.11.9.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khí nén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rò rỉ.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dẫn phải được kẹp chặt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và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rạn nứt.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2.11.10.</w:t>
      </w:r>
      <w:r w:rsidRPr="00074DDC">
        <w:rPr>
          <w:rFonts w:ascii="Arial" w:hAnsi="Arial" w:cs="Arial"/>
          <w:sz w:val="20"/>
          <w:szCs w:val="20"/>
        </w:rPr>
        <w:t xml:space="preserve"> Hiệu quả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chính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2.11.10.1.</w:t>
      </w:r>
      <w:r w:rsidRPr="00074DDC">
        <w:rPr>
          <w:rFonts w:ascii="Arial" w:hAnsi="Arial" w:cs="Arial"/>
          <w:sz w:val="20"/>
          <w:szCs w:val="20"/>
        </w:rPr>
        <w:t xml:space="preserve"> Khi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băng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Chế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nối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dụng,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 trạng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thái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Yêu cầu: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Tổng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lực phanh chính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50%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tổng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phân bố lên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Sai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lệch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(giữa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trái)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 được 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25% khi được xác định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thức: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K</w:t>
      </w:r>
      <w:r w:rsidRPr="00074DDC">
        <w:rPr>
          <w:rFonts w:ascii="Arial" w:hAnsi="Arial" w:cs="Arial"/>
          <w:sz w:val="20"/>
          <w:szCs w:val="20"/>
          <w:vertAlign w:val="subscript"/>
        </w:rPr>
        <w:t>SL</w:t>
      </w:r>
      <w:r w:rsidRPr="00074DDC">
        <w:rPr>
          <w:rFonts w:ascii="Arial" w:hAnsi="Arial" w:cs="Arial"/>
          <w:sz w:val="20"/>
          <w:szCs w:val="20"/>
        </w:rPr>
        <w:t xml:space="preserve"> = (P</w:t>
      </w:r>
      <w:r w:rsidRPr="00074DDC">
        <w:rPr>
          <w:rFonts w:ascii="Arial" w:hAnsi="Arial" w:cs="Arial"/>
          <w:sz w:val="20"/>
          <w:szCs w:val="20"/>
          <w:vertAlign w:val="subscript"/>
        </w:rPr>
        <w:t>Flớn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- P</w:t>
      </w:r>
      <w:r w:rsidRPr="00074DDC">
        <w:rPr>
          <w:rFonts w:ascii="Arial" w:hAnsi="Arial" w:cs="Arial"/>
          <w:sz w:val="20"/>
          <w:szCs w:val="20"/>
          <w:vertAlign w:val="subscript"/>
        </w:rPr>
        <w:t>Fnhỏ</w:t>
      </w:r>
      <w:r w:rsidRPr="00074DDC">
        <w:rPr>
          <w:rFonts w:ascii="Arial" w:hAnsi="Arial" w:cs="Arial"/>
          <w:sz w:val="20"/>
          <w:szCs w:val="20"/>
        </w:rPr>
        <w:t>).100%/P</w:t>
      </w:r>
      <w:r w:rsidRPr="00074DDC">
        <w:rPr>
          <w:rFonts w:ascii="Arial" w:hAnsi="Arial" w:cs="Arial"/>
          <w:sz w:val="20"/>
          <w:szCs w:val="20"/>
          <w:vertAlign w:val="subscript"/>
        </w:rPr>
        <w:t>Flớn</w:t>
      </w:r>
      <w:r w:rsidRPr="00074DDC">
        <w:rPr>
          <w:rFonts w:ascii="Arial" w:hAnsi="Arial" w:cs="Arial"/>
          <w:sz w:val="20"/>
          <w:szCs w:val="20"/>
        </w:rPr>
        <w:t>;</w:t>
      </w:r>
    </w:p>
    <w:p w:rsidR="008557BE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Trong đó: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</w:t>
      </w:r>
      <w:r w:rsidRPr="00074DDC">
        <w:rPr>
          <w:rFonts w:ascii="Arial" w:hAnsi="Arial" w:cs="Arial"/>
          <w:sz w:val="20"/>
          <w:szCs w:val="20"/>
          <w:vertAlign w:val="subscript"/>
        </w:rPr>
        <w:t>SL</w:t>
      </w:r>
      <w:r w:rsidRPr="00074DDC">
        <w:rPr>
          <w:rFonts w:ascii="Arial" w:hAnsi="Arial" w:cs="Arial"/>
          <w:sz w:val="20"/>
          <w:szCs w:val="20"/>
        </w:rPr>
        <w:t>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sai lệch lực phanh trên một trục (%); 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P</w:t>
      </w:r>
      <w:r w:rsidRPr="00074DDC">
        <w:rPr>
          <w:rFonts w:ascii="Arial" w:hAnsi="Arial" w:cs="Arial"/>
          <w:sz w:val="20"/>
          <w:szCs w:val="20"/>
          <w:vertAlign w:val="subscript"/>
        </w:rPr>
        <w:t>Flớn</w:t>
      </w:r>
      <w:r w:rsidRPr="00074DDC">
        <w:rPr>
          <w:rFonts w:ascii="Arial" w:hAnsi="Arial" w:cs="Arial"/>
          <w:sz w:val="20"/>
          <w:szCs w:val="20"/>
        </w:rPr>
        <w:t>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lực phanh lớn;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P</w:t>
      </w:r>
      <w:r w:rsidRPr="00074DDC">
        <w:rPr>
          <w:rFonts w:ascii="Arial" w:hAnsi="Arial" w:cs="Arial"/>
          <w:sz w:val="20"/>
          <w:szCs w:val="20"/>
          <w:vertAlign w:val="subscript"/>
        </w:rPr>
        <w:t>Fnhỏ</w:t>
      </w:r>
      <w:r w:rsidRPr="00074DDC">
        <w:rPr>
          <w:rFonts w:ascii="Arial" w:hAnsi="Arial" w:cs="Arial"/>
          <w:sz w:val="20"/>
          <w:szCs w:val="20"/>
        </w:rPr>
        <w:t>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lực phanh nhỏ.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2.11.10.2.</w:t>
      </w:r>
      <w:r w:rsidRPr="00074DDC">
        <w:rPr>
          <w:rFonts w:ascii="Arial" w:hAnsi="Arial" w:cs="Arial"/>
          <w:sz w:val="20"/>
          <w:szCs w:val="20"/>
        </w:rPr>
        <w:t xml:space="preserve"> Khi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đường thử: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Chế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 thử: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được nối với xe kéo,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 trạng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thái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Đường thử: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phẳng, khô, sạch; mặt đường bê tông nhựa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 đường bê tông xi măng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 đường loại khác có hệ số bám không nhỏ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0,6;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hiệu quả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được đánh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 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 chỉ tiêu quãng đường phanh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 tốc phanh 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xe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lệch ra ngoài hành lang phanh được quy định trong Bảng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4.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Bảng 4 - Hiệu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quả phanh chính khi thử không tải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725"/>
        <w:gridCol w:w="1768"/>
        <w:gridCol w:w="1613"/>
        <w:gridCol w:w="2064"/>
      </w:tblGrid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6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Vận tốc</w:t>
            </w:r>
            <w:r w:rsidR="00C1334C" w:rsidRPr="00074D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>thiết kế lớn nhất V</w:t>
            </w:r>
            <w:r w:rsidRPr="00074DD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 xml:space="preserve"> (km/h)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Vận tốc</w:t>
            </w:r>
            <w:r w:rsidR="00C1334C" w:rsidRPr="00074D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 xml:space="preserve">ban đầu khi phanh (km/h) </w:t>
            </w:r>
            <w:r w:rsidRPr="00074DDC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Quãng đường phanh S</w:t>
            </w:r>
            <w:r w:rsidRPr="00074DD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p</w:t>
            </w:r>
            <w:r w:rsidR="00C1334C" w:rsidRPr="00074D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>(m)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Gia tốc</w:t>
            </w:r>
            <w:r w:rsidR="00C1334C" w:rsidRPr="00074D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>phanh lớn nhất J</w:t>
            </w:r>
            <w:r w:rsidRPr="00074DD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Pmax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 xml:space="preserve"> (m/s</w:t>
            </w:r>
            <w:r w:rsidR="006D389D" w:rsidRPr="00074DD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DDC">
              <w:rPr>
                <w:rFonts w:ascii="Arial" w:hAnsi="Arial" w:cs="Arial"/>
                <w:b/>
                <w:sz w:val="20"/>
                <w:szCs w:val="20"/>
              </w:rPr>
              <w:t>Hành lang phanh</w:t>
            </w:r>
            <w:r w:rsidR="004A5EC2" w:rsidRPr="00074D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b/>
                <w:sz w:val="20"/>
                <w:szCs w:val="20"/>
              </w:rPr>
              <w:t>(m)</w:t>
            </w:r>
          </w:p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74DDC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6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 30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≤ 9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 5,4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6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&lt; 30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V</w:t>
            </w:r>
            <w:r w:rsidRPr="00074DDC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≤ 9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 5,4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74DD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(1)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Sai số cho phép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khi thử: từ 0 đến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+2 km/h</w:t>
            </w:r>
          </w:p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74DD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(2)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Không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áp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dụng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đối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với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xe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có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kích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thước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lớn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hơn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giới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hạn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quy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định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tại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mục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2.1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của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Quy</w:t>
            </w:r>
            <w:r w:rsidR="00C1334C" w:rsidRPr="00074D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i/>
                <w:sz w:val="20"/>
                <w:szCs w:val="20"/>
              </w:rPr>
              <w:t>chuẩn này</w:t>
            </w:r>
          </w:p>
        </w:tc>
      </w:tr>
    </w:tbl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2.11.11.</w:t>
      </w:r>
      <w:r w:rsidRPr="00074DDC">
        <w:rPr>
          <w:rFonts w:ascii="Arial" w:hAnsi="Arial" w:cs="Arial"/>
          <w:sz w:val="20"/>
          <w:szCs w:val="20"/>
        </w:rPr>
        <w:t xml:space="preserve"> Hiệu quả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đỗ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2.11.11.1.</w:t>
      </w:r>
      <w:r w:rsidRPr="00074DDC">
        <w:rPr>
          <w:rFonts w:ascii="Arial" w:hAnsi="Arial" w:cs="Arial"/>
          <w:sz w:val="20"/>
          <w:szCs w:val="20"/>
        </w:rPr>
        <w:t xml:space="preserve"> Khi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băng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Chế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nối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dụng,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 trạng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thái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Yêu cầu: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tổng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đỗ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16%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tổng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phân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bố lên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2.11.11.2.</w:t>
      </w:r>
      <w:r w:rsidRPr="00074DDC">
        <w:rPr>
          <w:rFonts w:ascii="Arial" w:hAnsi="Arial" w:cs="Arial"/>
          <w:sz w:val="20"/>
          <w:szCs w:val="20"/>
        </w:rPr>
        <w:t xml:space="preserve"> Khi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dốc thử: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Chế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 thử: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được nối với xe kéo,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 trạng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thái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Dốc thử: phẳng, khô, sạch; mặt dốc bê tông nhựa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 dốc bê tông xi măng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 dốc loại khác có hệ số bám không nhỏ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0,6;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dốc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20%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dốc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dốc xuống)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dốc.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2.11.11.3.</w:t>
      </w:r>
      <w:r w:rsidRPr="00074DDC">
        <w:rPr>
          <w:rFonts w:ascii="Arial" w:hAnsi="Arial" w:cs="Arial"/>
          <w:sz w:val="20"/>
          <w:szCs w:val="20"/>
        </w:rPr>
        <w:t xml:space="preserve"> Khi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đường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(đường bằng):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Chế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 thử: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được nối với giá đỡ,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ở trạng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thái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Đường thử: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phẳng, khô, sạch; 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bê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tông nhựa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bê tông xi măng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 đường loại khác có hệ số bám không nhỏ hơn 0,6;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đỗ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 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phù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đồ nối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hình dưới đây (hình 9);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Yêu cầu: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F</w:t>
      </w:r>
      <w:r w:rsidRPr="00074DDC">
        <w:rPr>
          <w:rFonts w:ascii="Arial" w:hAnsi="Arial" w:cs="Arial"/>
          <w:sz w:val="20"/>
          <w:szCs w:val="20"/>
          <w:vertAlign w:val="subscript"/>
        </w:rPr>
        <w:t>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16% tổng trọng lượng phân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bố lên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</w:t>
      </w:r>
    </w:p>
    <w:p w:rsidR="00B31846" w:rsidRPr="00074DDC" w:rsidRDefault="00101DC2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FA8553" wp14:editId="72D99332">
            <wp:extent cx="4572000" cy="1295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9. Thử phanh đỗ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trên đường bằng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2.12.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Hệ thống treo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2.12.1.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Chịu được tải 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 nó, 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 bền,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 êm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dịu (đối với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khách)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khi vận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đường.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2.12.2.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tiết,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 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rò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rỉ khí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nén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khí nén),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thuỷ lực (đối với giảm chấn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thuỷ lực).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2.13.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Hệ thống điện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2.13.1.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Dây điện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bọc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Dây điện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chịu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nhiệt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độ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ẩm,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kẹp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trí 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tránh được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 hỏng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do bị cắt,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mài hay cọ xát.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2.13.2.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giắc nối, 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nối và 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tắc điện phải được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2.13.3.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phải có bộ nối 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nối với ổ nối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là 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ít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7 cực. 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7 cực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chuẩn TCVN 7479:2005 </w:t>
      </w:r>
      <w:r w:rsidR="00B26E98" w:rsidRPr="00074DDC">
        <w:rPr>
          <w:rFonts w:ascii="Arial" w:hAnsi="Arial" w:cs="Arial"/>
          <w:i/>
          <w:sz w:val="20"/>
          <w:szCs w:val="20"/>
        </w:rPr>
        <w:t>“</w:t>
      </w:r>
      <w:r w:rsidRPr="00074DDC">
        <w:rPr>
          <w:rFonts w:ascii="Arial" w:hAnsi="Arial" w:cs="Arial"/>
          <w:i/>
          <w:sz w:val="20"/>
          <w:szCs w:val="20"/>
        </w:rPr>
        <w:t>Phương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tiện giao 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đường bộ - Bộ nối điện giữa phương tiện kéo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và được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kéo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- Bộ nối 7 cực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kiểu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12N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(thông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dụng)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sử dụng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trên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các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phương tiện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có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điện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áp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danh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định</w:t>
      </w:r>
      <w:r w:rsidR="00B26E98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12V”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TCVN 7480:2005 </w:t>
      </w:r>
      <w:r w:rsidR="00F672B0" w:rsidRPr="00074DDC">
        <w:rPr>
          <w:rFonts w:ascii="Arial" w:hAnsi="Arial" w:cs="Arial"/>
          <w:i/>
          <w:sz w:val="20"/>
          <w:szCs w:val="20"/>
        </w:rPr>
        <w:t>“</w:t>
      </w:r>
      <w:r w:rsidRPr="00074DDC">
        <w:rPr>
          <w:rFonts w:ascii="Arial" w:hAnsi="Arial" w:cs="Arial"/>
          <w:i/>
          <w:sz w:val="20"/>
          <w:szCs w:val="20"/>
        </w:rPr>
        <w:t>Phương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tiện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giao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đường bộ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- Bộ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nối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điện giữa phương tiện kéo và được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kéo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- Bộ nối 7 cực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kiểu 24N (thông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dụng)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sử dụng trên các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phương tiện có điện áp danh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định 24V”.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Hệ thống đèn và tín hiệu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đây: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rẽ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sau, đèn cảnh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 hiểm,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trí sau (đèn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kích thước sau),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phanh,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lùi, đèn soi biển số sau.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ổn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vận hành.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đây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cặp: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rẽ,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trí, đèn phanh (có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ít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cặp).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cặp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phù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2.14.3.1.</w:t>
      </w:r>
      <w:r w:rsidRPr="00074DDC">
        <w:rPr>
          <w:rFonts w:ascii="Arial" w:hAnsi="Arial" w:cs="Arial"/>
          <w:sz w:val="20"/>
          <w:szCs w:val="20"/>
        </w:rPr>
        <w:t xml:space="preserve"> Được lắp vào xe đối xứng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 phẳng trung tuyến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dọc xe;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2.14.3.2.</w:t>
      </w:r>
      <w:r w:rsidRPr="00074DDC">
        <w:rPr>
          <w:rFonts w:ascii="Arial" w:hAnsi="Arial" w:cs="Arial"/>
          <w:sz w:val="20"/>
          <w:szCs w:val="20"/>
        </w:rPr>
        <w:t xml:space="preserve"> 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màu.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 phải phù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trong Bảng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5.</w:t>
      </w:r>
    </w:p>
    <w:p w:rsid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Bảng 5. Màu,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số lượng tối thiểu, cường độ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sáng và chỉ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 xml:space="preserve">tiêu 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kiểm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tra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bằng quan sát của các loại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đèn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804"/>
        <w:gridCol w:w="832"/>
        <w:gridCol w:w="835"/>
        <w:gridCol w:w="1382"/>
        <w:gridCol w:w="3462"/>
      </w:tblGrid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vMerge w:val="restar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TT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Tên đèn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Màu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FB3A06" w:rsidRPr="00074DDC" w:rsidRDefault="00115A7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Số lượn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>g tối thiểu</w:t>
            </w:r>
          </w:p>
        </w:tc>
        <w:tc>
          <w:tcPr>
            <w:tcW w:w="2684" w:type="pct"/>
            <w:gridSpan w:val="2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Cường độ sáng hoặc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chỉ tiêu kiểm tra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quan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sát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Cường độ</w:t>
            </w:r>
            <w:r w:rsidR="003212F5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sáng (cd)</w:t>
            </w:r>
          </w:p>
        </w:tc>
        <w:tc>
          <w:tcPr>
            <w:tcW w:w="1919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Chỉ tiêu kiểm tra bằng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quan</w:t>
            </w:r>
            <w:r w:rsidR="006C00C7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sát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Đèn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báo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rẽ</w:t>
            </w:r>
          </w:p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sau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Vàng/</w:t>
            </w:r>
          </w:p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FB3A06" w:rsidRPr="00074DDC" w:rsidRDefault="00074DDC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r w:rsidRPr="00074DDC">
              <w:rPr>
                <w:rFonts w:ascii="Arial" w:hAnsi="Arial" w:cs="Arial"/>
                <w:sz w:val="20"/>
                <w:szCs w:val="20"/>
              </w:rPr>
              <w:t>÷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500</w:t>
            </w:r>
          </w:p>
        </w:tc>
        <w:tc>
          <w:tcPr>
            <w:tcW w:w="1919" w:type="pct"/>
            <w:vMerge w:val="restar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Phải bảo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đảm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nhận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biết được tín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hiệu ở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khoảng cách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20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 trong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điều kiện ánh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sáng ban ngày.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Đèn phanh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 xml:space="preserve">60 </w:t>
            </w:r>
            <w:r w:rsidR="006C00C7" w:rsidRPr="00074DDC">
              <w:rPr>
                <w:rFonts w:ascii="Arial" w:hAnsi="Arial" w:cs="Arial"/>
                <w:sz w:val="20"/>
                <w:szCs w:val="20"/>
              </w:rPr>
              <w:t>÷</w:t>
            </w:r>
            <w:r w:rsidRPr="00074DDC">
              <w:rPr>
                <w:rFonts w:ascii="Arial" w:hAnsi="Arial" w:cs="Arial"/>
                <w:sz w:val="20"/>
                <w:szCs w:val="20"/>
              </w:rPr>
              <w:t xml:space="preserve"> 730</w:t>
            </w:r>
          </w:p>
        </w:tc>
        <w:tc>
          <w:tcPr>
            <w:tcW w:w="1919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Đèn lùi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Trắng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</w:t>
            </w:r>
            <w:r w:rsidRPr="00074DDC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 xml:space="preserve">80 </w:t>
            </w:r>
            <w:r w:rsidR="006C00C7" w:rsidRPr="00074DDC">
              <w:rPr>
                <w:rFonts w:ascii="Arial" w:hAnsi="Arial" w:cs="Arial"/>
                <w:sz w:val="20"/>
                <w:szCs w:val="20"/>
              </w:rPr>
              <w:t>÷</w:t>
            </w:r>
            <w:r w:rsidRPr="00074DDC">
              <w:rPr>
                <w:rFonts w:ascii="Arial" w:hAnsi="Arial" w:cs="Arial"/>
                <w:sz w:val="20"/>
                <w:szCs w:val="20"/>
              </w:rPr>
              <w:t xml:space="preserve"> 600</w:t>
            </w:r>
          </w:p>
        </w:tc>
        <w:tc>
          <w:tcPr>
            <w:tcW w:w="1919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Đèn vị trí sau (đèn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kích thước sau)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6C00C7" w:rsidRPr="00074DDC">
              <w:rPr>
                <w:rFonts w:ascii="Arial" w:hAnsi="Arial" w:cs="Arial"/>
                <w:sz w:val="20"/>
                <w:szCs w:val="20"/>
              </w:rPr>
              <w:t>÷</w:t>
            </w:r>
            <w:r w:rsidRPr="00074DDC"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1919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Trong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điều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kiện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ánh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sáng ban ngày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bảo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đảm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nhận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biết được tín hiệu ở khoảng cách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10 m.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Đèn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soi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biển số sau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Trắng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FB3A06" w:rsidRPr="00074DDC" w:rsidRDefault="00074DDC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074DDC">
              <w:rPr>
                <w:rFonts w:ascii="Arial" w:hAnsi="Arial" w:cs="Arial"/>
                <w:sz w:val="20"/>
                <w:szCs w:val="20"/>
              </w:rPr>
              <w:t>÷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1919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Trong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điều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kiện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ánh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sáng</w:t>
            </w:r>
            <w:r w:rsidR="0014070F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ban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ngày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phải bảo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đảm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nhận biết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được tín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hiệu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ở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khoảng cách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10 m.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DDC">
              <w:rPr>
                <w:rFonts w:ascii="Arial" w:hAnsi="Arial" w:cs="Arial"/>
                <w:sz w:val="20"/>
                <w:szCs w:val="20"/>
              </w:rPr>
              <w:t xml:space="preserve"> nhưng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quá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2 đèn.</w:t>
            </w:r>
          </w:p>
        </w:tc>
      </w:tr>
    </w:tbl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2.14.5.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trí lắp đặt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quy định tại Bảng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6.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Bảng 6. Vị trí lắp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đặt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các loại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đèn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(Đơn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kích thước: mm)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1950"/>
        <w:gridCol w:w="1250"/>
        <w:gridCol w:w="1943"/>
        <w:gridCol w:w="1663"/>
        <w:gridCol w:w="1667"/>
      </w:tblGrid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 w:val="restar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TT</w:t>
            </w:r>
          </w:p>
        </w:tc>
        <w:tc>
          <w:tcPr>
            <w:tcW w:w="1081" w:type="pct"/>
            <w:vMerge w:val="restar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Tên đèn</w:t>
            </w:r>
          </w:p>
        </w:tc>
        <w:tc>
          <w:tcPr>
            <w:tcW w:w="1770" w:type="pct"/>
            <w:gridSpan w:val="2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Chiều cao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tính từ mặt đỗ xe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Khoảng cách giữa 2 mép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trong của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đèn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đối xứng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Khoảng cách từ mép ngoài của đèn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đến</w:t>
            </w:r>
            <w:r w:rsidR="00B33E4B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mép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ngoài của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tới mép dưới của đèn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tới mép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trên của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đèn</w:t>
            </w: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vMerge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Đèn báo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rẽ sau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EC361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350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FB3A06" w:rsidRPr="00074DDC" w:rsidRDefault="00EC361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≤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1.500(2.100)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B3A06" w:rsidRPr="00074DDC" w:rsidRDefault="00EC361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600 (400)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FB3A06" w:rsidRPr="00074DDC" w:rsidRDefault="00392E9F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≤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400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Đèn vị trí sau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EC361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350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FB3A06" w:rsidRPr="00074DDC" w:rsidRDefault="00EC361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≤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1.500(2.100)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B3A06" w:rsidRPr="00074DDC" w:rsidRDefault="00392E9F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600 (400)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FB3A06" w:rsidRPr="00074DDC" w:rsidRDefault="00392E9F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≤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400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Đèn phanh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EC361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350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FB3A06" w:rsidRPr="00074DDC" w:rsidRDefault="00EC361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 xml:space="preserve">≤ 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>1.500(2.100)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B3A06" w:rsidRPr="00074DDC" w:rsidRDefault="00392E9F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600 (400)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Đèn lùi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B3A06" w:rsidRPr="00074DDC" w:rsidRDefault="00EC361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≥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250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FB3A06" w:rsidRPr="00074DDC" w:rsidRDefault="00EC3612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≤</w:t>
            </w:r>
            <w:r w:rsidR="00FB3A06" w:rsidRPr="00074DDC">
              <w:rPr>
                <w:rFonts w:ascii="Arial" w:hAnsi="Arial" w:cs="Arial"/>
                <w:sz w:val="20"/>
                <w:szCs w:val="20"/>
              </w:rPr>
              <w:t xml:space="preserve"> 1.200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3A06" w:rsidRPr="00074DDC" w:rsidTr="0007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shd w:val="clear" w:color="auto" w:fill="auto"/>
            <w:vAlign w:val="center"/>
          </w:tcPr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 Giá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trị trong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ngoặc tại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cột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(4) ứng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với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một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số trường hợp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đặc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biệt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khi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hình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dạng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thân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hoặc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kết cấu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của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không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cho phép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lắp đặt đèn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trong phạm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vi chiều cao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giới hạn.</w:t>
            </w:r>
          </w:p>
          <w:p w:rsidR="00FB3A06" w:rsidRPr="00074DDC" w:rsidRDefault="00FB3A06" w:rsidP="00074D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4DDC">
              <w:rPr>
                <w:rFonts w:ascii="Arial" w:hAnsi="Arial" w:cs="Arial"/>
                <w:sz w:val="20"/>
                <w:szCs w:val="20"/>
              </w:rPr>
              <w:t>- Giá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trị trong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ngoặc tại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cột (5) ứng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với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trường hợp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xe có chiều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rộng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toàn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bộ nhỏ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hơn</w:t>
            </w:r>
            <w:r w:rsidR="00C1334C" w:rsidRPr="00074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4DDC">
              <w:rPr>
                <w:rFonts w:ascii="Arial" w:hAnsi="Arial" w:cs="Arial"/>
                <w:sz w:val="20"/>
                <w:szCs w:val="20"/>
              </w:rPr>
              <w:t>1.300 mm.</w:t>
            </w:r>
          </w:p>
        </w:tc>
      </w:tr>
    </w:tbl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2.14.6.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2.14.6.1.</w:t>
      </w:r>
      <w:r w:rsidRPr="00074DDC">
        <w:rPr>
          <w:rFonts w:ascii="Arial" w:hAnsi="Arial" w:cs="Arial"/>
          <w:sz w:val="20"/>
          <w:szCs w:val="20"/>
        </w:rPr>
        <w:t xml:space="preserve">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lùi: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lùi 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sáng 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trí số lùi và 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khởi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trí mà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được. Đèn phải tắt khi một trong hai điều kiện trên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thỏa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mãn.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2.14.6.2.</w:t>
      </w:r>
      <w:r w:rsidRPr="00074DDC">
        <w:rPr>
          <w:rFonts w:ascii="Arial" w:hAnsi="Arial" w:cs="Arial"/>
          <w:sz w:val="20"/>
          <w:szCs w:val="20"/>
        </w:rPr>
        <w:t xml:space="preserve"> Đèn biển số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Ánh sáng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biển số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chiếu ra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xe.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Khi bật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sáng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trước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biển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cũng phải sáng và nó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thể tắt được 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tắc riêng.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2.14.6.3.</w:t>
      </w:r>
      <w:r w:rsidRPr="00074DDC">
        <w:rPr>
          <w:rFonts w:ascii="Arial" w:hAnsi="Arial" w:cs="Arial"/>
          <w:sz w:val="20"/>
          <w:szCs w:val="20"/>
        </w:rPr>
        <w:t xml:space="preserve"> Đèn phanh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Đèn phanh phải bật sáng khi 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chính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kéo 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động.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trí,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sáng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rõ</w:t>
      </w:r>
      <w:r w:rsidR="008B4B83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rệt so với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trí.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2.14.6.4.</w:t>
      </w:r>
      <w:r w:rsidRPr="00074DDC">
        <w:rPr>
          <w:rFonts w:ascii="Arial" w:hAnsi="Arial" w:cs="Arial"/>
          <w:sz w:val="20"/>
          <w:szCs w:val="20"/>
        </w:rPr>
        <w:t xml:space="preserve"> Đèn 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rẽ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rẽ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nháy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nháy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từ 60 lần/phút 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120 lần/phút.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2.14.6.5.</w:t>
      </w:r>
      <w:r w:rsidRPr="00074DDC">
        <w:rPr>
          <w:rFonts w:ascii="Arial" w:hAnsi="Arial" w:cs="Arial"/>
          <w:sz w:val="20"/>
          <w:szCs w:val="20"/>
        </w:rPr>
        <w:t xml:space="preserve">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hiểm: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cảnh 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hiểm phải nháy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đồng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thời và 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số.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thể dùng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rẽ.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về vị trí lắp đặt,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màu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sắc, số lượng tối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thiểu,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cường độ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sáng 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chỉ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sát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 nguy hiểm cũng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tương tự 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rẽ.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2.14.6.6.</w:t>
      </w:r>
      <w:r w:rsidRPr="00074DDC">
        <w:rPr>
          <w:rFonts w:ascii="Arial" w:hAnsi="Arial" w:cs="Arial"/>
          <w:sz w:val="20"/>
          <w:szCs w:val="20"/>
        </w:rPr>
        <w:t xml:space="preserve">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hiệu 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phải phù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6.18.4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TCVN 6978:2001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2.14.6.7.</w:t>
      </w:r>
      <w:r w:rsidRPr="00074DDC">
        <w:rPr>
          <w:rFonts w:ascii="Arial" w:hAnsi="Arial" w:cs="Arial"/>
          <w:sz w:val="20"/>
          <w:szCs w:val="20"/>
        </w:rPr>
        <w:t xml:space="preserve">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lắp đèn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sáng trắng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hướng về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xe (trừ đèn lùi).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2.15.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Tấm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phản quang</w:t>
      </w:r>
    </w:p>
    <w:p w:rsidR="007B003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Xe phải được 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tấm phản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quang ở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sau; 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Màu tấm phản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quang là màu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đỏ;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Hình dạng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 phản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quang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là hình tam giác;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Ánh sáng phản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chiếu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quang phải được nhìn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thấy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rõ ràng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từ 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100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về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chiếu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sáng 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sáng đèn chiếu sáng 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trước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khác.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2.16.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Số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khung:</w:t>
      </w:r>
      <w:r w:rsidRPr="00074DDC">
        <w:rPr>
          <w:rFonts w:ascii="Arial" w:hAnsi="Arial" w:cs="Arial"/>
          <w:sz w:val="20"/>
          <w:szCs w:val="20"/>
        </w:rPr>
        <w:t xml:space="preserve"> 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đóng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vỏ xe, trừ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được sản xuất,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ráp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từ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đã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số 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dạng phương tiện giao 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(VIN). Số 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phù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2.16.1.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trí và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ghi số 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phù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về vị trí,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ghi số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tiện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chuẩn TCVN 6580:2000 </w:t>
      </w:r>
      <w:r w:rsidRPr="00074DDC">
        <w:rPr>
          <w:rFonts w:ascii="Arial" w:hAnsi="Arial" w:cs="Arial"/>
          <w:i/>
          <w:sz w:val="20"/>
          <w:szCs w:val="20"/>
        </w:rPr>
        <w:t>“Phương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tiện</w:t>
      </w:r>
      <w:r w:rsidR="00102515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giao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đường bộ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- Mã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nhận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dạng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phương tiện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giao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(VIN) - Vị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trí và cách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ghi)”;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2.16.2.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Nội dung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cấu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trúc số 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đáp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ứng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số nhận dạng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tiện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chuẩn TCVN 6578:2014 </w:t>
      </w:r>
      <w:r w:rsidRPr="00074DDC">
        <w:rPr>
          <w:rFonts w:ascii="Arial" w:hAnsi="Arial" w:cs="Arial"/>
          <w:i/>
          <w:sz w:val="20"/>
          <w:szCs w:val="20"/>
        </w:rPr>
        <w:t>“Phương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tiện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giao 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đường bộ - Mã nhận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dạng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phương tiện giao thông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(VIN) - Nội dung</w:t>
      </w:r>
      <w:r w:rsidR="00C1334C" w:rsidRPr="00074DDC">
        <w:rPr>
          <w:rFonts w:ascii="Arial" w:hAnsi="Arial" w:cs="Arial"/>
          <w:i/>
          <w:sz w:val="20"/>
          <w:szCs w:val="20"/>
        </w:rPr>
        <w:t xml:space="preserve"> </w:t>
      </w:r>
      <w:r w:rsidRPr="00074DDC">
        <w:rPr>
          <w:rFonts w:ascii="Arial" w:hAnsi="Arial" w:cs="Arial"/>
          <w:i/>
          <w:sz w:val="20"/>
          <w:szCs w:val="20"/>
        </w:rPr>
        <w:t>và cấu trúc”.</w:t>
      </w:r>
      <w:r w:rsidRPr="00074DDC">
        <w:rPr>
          <w:rFonts w:ascii="Arial" w:hAnsi="Arial" w:cs="Arial"/>
          <w:sz w:val="20"/>
          <w:szCs w:val="20"/>
        </w:rPr>
        <w:t xml:space="preserve"> Ký tự thứ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10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dùng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chỉ năm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sản xuất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tính theo dương lịch.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Yêu cầu riêng đối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với rơ moóc, sơ mi rơ moóc nhà ở lưu động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người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chuyển, khu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sinh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chỉ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xe đỗ.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đồ vật, 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kiện, thiết bị nội thất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cạnh sắc nhọn,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định vị,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chịu được rung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va chạm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 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trình di chuyển. 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tối thiểu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 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sinh 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gồm: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 ngủ,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 vực bếp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ăn,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 vực vệ sinh, bàn,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ghế,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tủ chứa đồ.</w:t>
      </w:r>
    </w:p>
    <w:p w:rsidR="00FB3A06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2.17.1.1.</w:t>
      </w:r>
      <w:r w:rsidRPr="00074DDC">
        <w:rPr>
          <w:rFonts w:ascii="Arial" w:hAnsi="Arial" w:cs="Arial"/>
          <w:sz w:val="20"/>
          <w:szCs w:val="20"/>
        </w:rPr>
        <w:t xml:space="preserve">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ngủ: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bố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trí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sinh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tối thiểu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 chỗ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ngủ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480mm.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Chỗ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ngủ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chuyển đổi từ ghế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ngồi 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về kích thước tối thiểu sau khi chuyển đổi.</w:t>
      </w:r>
    </w:p>
    <w:p w:rsidR="00B451B4" w:rsidRPr="00074DDC" w:rsidRDefault="00FB3A06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2.17.1.2.</w:t>
      </w:r>
      <w:r w:rsidRPr="00074DDC">
        <w:rPr>
          <w:rFonts w:ascii="Arial" w:hAnsi="Arial" w:cs="Arial"/>
          <w:sz w:val="20"/>
          <w:szCs w:val="20"/>
        </w:rPr>
        <w:t xml:space="preserve"> Khu 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ăn: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bố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trí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tuỳ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trí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thoáng khí, tách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biệt với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 ngủ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có 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</w:t>
      </w:r>
      <w:r w:rsidR="00B451B4" w:rsidRPr="00074DDC">
        <w:rPr>
          <w:rFonts w:ascii="Arial" w:hAnsi="Arial" w:cs="Arial"/>
          <w:sz w:val="20"/>
          <w:szCs w:val="20"/>
        </w:rPr>
        <w:t>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="00B451B4" w:rsidRPr="00074DDC">
        <w:rPr>
          <w:rFonts w:ascii="Arial" w:hAnsi="Arial" w:cs="Arial"/>
          <w:sz w:val="20"/>
          <w:szCs w:val="20"/>
        </w:rPr>
        <w:t>gió ra 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="00B451B4" w:rsidRPr="00074DDC">
        <w:rPr>
          <w:rFonts w:ascii="Arial" w:hAnsi="Arial" w:cs="Arial"/>
          <w:sz w:val="20"/>
          <w:szCs w:val="20"/>
        </w:rPr>
        <w:t>ngoài. Thiết bị bếp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="00B451B4" w:rsidRPr="00074DDC">
        <w:rPr>
          <w:rFonts w:ascii="Arial" w:hAnsi="Arial" w:cs="Arial"/>
          <w:sz w:val="20"/>
          <w:szCs w:val="20"/>
        </w:rPr>
        <w:t>phải lắp đặt 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="00B451B4"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="00B451B4" w:rsidRPr="00074DDC">
        <w:rPr>
          <w:rFonts w:ascii="Arial" w:hAnsi="Arial" w:cs="Arial"/>
          <w:sz w:val="20"/>
          <w:szCs w:val="20"/>
        </w:rPr>
        <w:t>chịu được rung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="00B451B4" w:rsidRPr="00074DDC">
        <w:rPr>
          <w:rFonts w:ascii="Arial" w:hAnsi="Arial" w:cs="Arial"/>
          <w:sz w:val="20"/>
          <w:szCs w:val="20"/>
        </w:rPr>
        <w:t>trong 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="00B451B4" w:rsidRPr="00074DDC">
        <w:rPr>
          <w:rFonts w:ascii="Arial" w:hAnsi="Arial" w:cs="Arial"/>
          <w:sz w:val="20"/>
          <w:szCs w:val="20"/>
        </w:rPr>
        <w:t>trình di chuyển.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2.17.1.3.</w:t>
      </w:r>
      <w:r w:rsidRPr="00074DDC">
        <w:rPr>
          <w:rFonts w:ascii="Arial" w:hAnsi="Arial" w:cs="Arial"/>
          <w:sz w:val="20"/>
          <w:szCs w:val="20"/>
        </w:rPr>
        <w:t xml:space="preserve"> Khu vực vệ sinh: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bị vệ sinh được lắp đặt cố định trong khu vực vệ sinh. 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thải, nước thải phải được thu hết vào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chứa. Trên xe phải có ít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 loại 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thải cho bồn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bồn tiểu;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 nước thải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còn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từ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 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sinh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khu vực bếp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ăn;</w:t>
      </w:r>
    </w:p>
    <w:p w:rsidR="00AA4FA5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nước sạch được bố trí tách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biệt với khu 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thải; 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lỗ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hơi,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AA4FA5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tràn,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đóng,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phù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nơi cấp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nước sạch, nơi xả thải;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Vỏ 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có khả 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ăn mòn,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thấm,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chịu được va chạm để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rách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vỡ, rò rỉ trong 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trình sử dụng.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2.17.1.4.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Bàn,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ghế: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trí lắp 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cố định. Bàn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rời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gấp lại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được. Khi xe di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bàn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ghế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vị 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sàn xe, 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xuống: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ít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xuống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 phải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xe. Kích thước tối thiểu (rộng x cao)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 650 x 1.200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mm.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 và thiết bị điện trong khu vực sinh hoạt: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2.17.3.1.</w:t>
      </w:r>
      <w:r w:rsidRPr="00074DDC">
        <w:rPr>
          <w:rFonts w:ascii="Arial" w:hAnsi="Arial" w:cs="Arial"/>
          <w:sz w:val="20"/>
          <w:szCs w:val="20"/>
        </w:rPr>
        <w:t xml:space="preserve"> 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sinh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 chung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 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được 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bị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an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 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chì,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aptomat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bị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tương tự khác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trước khi kết nối với nguồn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 từ 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bị lưu trữ điện độc lập.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2.17.3.2.</w:t>
      </w:r>
      <w:r w:rsidRPr="00074DDC">
        <w:rPr>
          <w:rFonts w:ascii="Arial" w:hAnsi="Arial" w:cs="Arial"/>
          <w:sz w:val="20"/>
          <w:szCs w:val="20"/>
        </w:rPr>
        <w:t xml:space="preserve"> 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 phục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vụ sinh 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được tính toán,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kế phù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 với tiêu chuẩn chung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 lưới Quốc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 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 nối 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cần thiết.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2.17.3.3.</w:t>
      </w:r>
      <w:r w:rsidRPr="00074DDC">
        <w:rPr>
          <w:rFonts w:ascii="Arial" w:hAnsi="Arial" w:cs="Arial"/>
          <w:sz w:val="20"/>
          <w:szCs w:val="20"/>
        </w:rPr>
        <w:t xml:space="preserve"> 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pin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trời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 khu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sinh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đó,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tuân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thủ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chuẩn 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điện mặt trời.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thiết bị chữa cháy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xe: xe phải 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 ít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01 bình chữa cháy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được lắp 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 sinh 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 vị trí dễ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nhìn thấy,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dễ tiếp cận.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2.17.5.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 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LPG phục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vụ sinh hoạt: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2.17.5.1.</w:t>
      </w:r>
      <w:r w:rsidRPr="00074DDC">
        <w:rPr>
          <w:rFonts w:ascii="Arial" w:hAnsi="Arial" w:cs="Arial"/>
          <w:sz w:val="20"/>
          <w:szCs w:val="20"/>
        </w:rPr>
        <w:t xml:space="preserve"> Đường ống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khí phải được bọc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tránh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mài mòn khi đi qua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 vách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đi qua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 ngủ,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lắp 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phận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dễ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đánh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lửa 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(bình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ắc quy, dây điện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xe).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2.17.5.2.</w:t>
      </w:r>
      <w:r w:rsidRPr="00074DDC">
        <w:rPr>
          <w:rFonts w:ascii="Arial" w:hAnsi="Arial" w:cs="Arial"/>
          <w:sz w:val="20"/>
          <w:szCs w:val="20"/>
        </w:rPr>
        <w:t xml:space="preserve"> 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LPG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LPG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biệt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sinh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phù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Bình chứa LPG phải được kiểm định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2.17.5.3.</w:t>
      </w:r>
      <w:r w:rsidRPr="00074DDC">
        <w:rPr>
          <w:rFonts w:ascii="Arial" w:hAnsi="Arial" w:cs="Arial"/>
          <w:sz w:val="20"/>
          <w:szCs w:val="20"/>
        </w:rPr>
        <w:t xml:space="preserve">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đấu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nối, 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LPG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nếu xe kéo 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nhiên liệu LPG.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2.18.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Yêu cầu riêng đối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với rơ moóc lều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trại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lưu động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2.18.1.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người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chuyển, khu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sinh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chỉ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xe đỗ.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bị phục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vụ cho việc dã ngoại được định vị, lắp đặt 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chịu được rung động,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va chạm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 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trình di chuyển.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2.18.2.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ngủ: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bố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trí 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triển khai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 đun mở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rộng.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2.18.3.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nấu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có):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bố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trí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 ngoài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tuỳ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bố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trí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thoáng khí, tách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biệt với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gian ngủ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có 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gió ra 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ngoài. Thiết bị bếp phải lắp đặt 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chịu được rung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 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trình di chuyển.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2.18.4.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 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sinh (nếu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có):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thiết bị vệ sinh được lắp 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cố định hoặc di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sinh. 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thải, nước thải phải được thu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 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chứa.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chứa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chắn,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lỗ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hơi, có 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tràn,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van đóng,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nối phù hợp</w:t>
      </w:r>
      <w:r w:rsidR="00D22D23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nơi xả thải.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 QUY ĐỊNH VỀ QUẢN LÝ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thức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 tra,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nghiệm, chứng nhận: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sơ mi rơ moóc sản xuất,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khẩu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kiểm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chứng nhận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về 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môi trường đối với xe cơ giới.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liệu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mẫu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sở sản xuất,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nước, tổ chức, cá nhân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khẩu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có trách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nhiệm cung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tài liệu 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mẫu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 phục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vụ cho 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tác kiểm tra, thử nghiệm.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3.2.1.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xe sản xuất lắp ráp: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3.2.1.1.</w:t>
      </w:r>
      <w:r w:rsidRPr="00074DDC">
        <w:rPr>
          <w:rFonts w:ascii="Arial" w:hAnsi="Arial" w:cs="Arial"/>
          <w:sz w:val="20"/>
          <w:szCs w:val="20"/>
        </w:rPr>
        <w:t xml:space="preserve"> Bản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sản xuất,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(kèm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vẽ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 mẫu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về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tự,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thủ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tục 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môi trường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giới, xe máy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dùng,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 tùng xe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 trong sản xuất,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ráp;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3.2.1.2.</w:t>
      </w:r>
      <w:r w:rsidRPr="00074DDC">
        <w:rPr>
          <w:rFonts w:ascii="Arial" w:hAnsi="Arial" w:cs="Arial"/>
          <w:sz w:val="20"/>
          <w:szCs w:val="20"/>
        </w:rPr>
        <w:t xml:space="preserve"> Bản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sao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giấy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 xe;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3.2.1.3.</w:t>
      </w:r>
      <w:r w:rsidRPr="00074DDC">
        <w:rPr>
          <w:rFonts w:ascii="Arial" w:hAnsi="Arial" w:cs="Arial"/>
          <w:sz w:val="20"/>
          <w:szCs w:val="20"/>
        </w:rPr>
        <w:t xml:space="preserve"> Bản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sao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tài liệu 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tổng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thành, hệ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thống,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 xe (nếu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có).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3.2.2.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xe nhập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khẩu: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3.2.2.1.</w:t>
      </w:r>
      <w:r w:rsidRPr="00074DDC">
        <w:rPr>
          <w:rFonts w:ascii="Arial" w:hAnsi="Arial" w:cs="Arial"/>
          <w:sz w:val="20"/>
          <w:szCs w:val="20"/>
        </w:rPr>
        <w:t xml:space="preserve"> Bản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tin xe nhập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khẩu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mẫu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tại 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 Quy định về trình tự, thủ tục 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an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môi trường xe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giới, xe máy chuyên dùng,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 tùng xe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 trong nhập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khẩu;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3.2.2.2.</w:t>
      </w:r>
      <w:r w:rsidRPr="00074DDC">
        <w:rPr>
          <w:rFonts w:ascii="Arial" w:hAnsi="Arial" w:cs="Arial"/>
          <w:sz w:val="20"/>
          <w:szCs w:val="20"/>
        </w:rPr>
        <w:t xml:space="preserve"> Tài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liệu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thiệu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sản xuất đảm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 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 Quy định về trình tự,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thủ tục 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chất 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máy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dùng, phụ tùng xe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 trong nhập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khẩu;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3.2.2.3.</w:t>
      </w:r>
      <w:r w:rsidRPr="00074DDC">
        <w:rPr>
          <w:rFonts w:ascii="Arial" w:hAnsi="Arial" w:cs="Arial"/>
          <w:sz w:val="20"/>
          <w:szCs w:val="20"/>
        </w:rPr>
        <w:t xml:space="preserve"> Bản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sao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tài liệu 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xe, 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(nếu có).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kiểu loại xe đã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kiểm tra,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tại mục</w:t>
      </w:r>
      <w:r w:rsidR="00D22D23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3.1 và mục 3.2 sẽ được cấp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 quả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 nghiệm.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thước, 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2.1 và 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2.2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vẫn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hiện việc kiểm tra,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 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chuẩn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nhưng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 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Giấy 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rõ: kiểu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tiện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chiếc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kích thước và/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 lượng vượt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 hạn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 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3.5.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thiết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sản xuất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đường dành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giao 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vẫn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hiện việc kiểm tra, thử nghiệm và 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nhưng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 và Giấy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rõ: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tiện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chiếc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 tham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 giao 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đường dành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 giao 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cộng.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3.6.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đun: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Giấy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dưới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dạng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đun.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đun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 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ghép, nối được với nhau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trong 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 và Giấy chứng nhận</w:t>
      </w:r>
      <w:r w:rsidR="00D22D23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rõ: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đun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ghép, nối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nhau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thành đoàn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hướng 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sản xuất.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3.7.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 ghép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tổ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toán,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kích thước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tổ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(ô tô 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ô tô 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phù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 số 39/2024/TT-BGTVT (trừ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có kích thước, khối lượng 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 hạn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tại mục 2.1 và mục 2.2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này).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3.8.</w:t>
      </w:r>
      <w:r w:rsidRPr="00074DDC">
        <w:rPr>
          <w:rFonts w:ascii="Arial" w:hAnsi="Arial" w:cs="Arial"/>
          <w:sz w:val="20"/>
          <w:szCs w:val="20"/>
        </w:rPr>
        <w:t xml:space="preserve"> Không áp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đối với số khung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 mục 2.16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 xe nhập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khẩu.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3.9.</w:t>
      </w:r>
      <w:r w:rsidRPr="00074DDC">
        <w:rPr>
          <w:rFonts w:ascii="Arial" w:hAnsi="Arial" w:cs="Arial"/>
          <w:sz w:val="20"/>
          <w:szCs w:val="20"/>
        </w:rPr>
        <w:t xml:space="preserve"> Kiểm tra hiệu quả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chính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 mục 2.11.10 và hiệu quả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phanh đỗ tại mục</w:t>
      </w:r>
      <w:r w:rsidR="00BB3718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2.11.11 được thực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(áp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sản phẩm mẫu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kiểm tra xuất xưởng):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3.9.1.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 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 với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 xe có kích thước và khối lượng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 hạn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tại 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2.1 và 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2.2 của Quy chuẩn này.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3.9.2.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 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đường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thước 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hạn cho 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tại mục 2.1 và mục 2.2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4. TỔ CHỨC THỰC HIỆN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4.1.</w:t>
      </w:r>
      <w:r w:rsidRPr="00074DDC">
        <w:rPr>
          <w:rFonts w:ascii="Arial" w:hAnsi="Arial" w:cs="Arial"/>
          <w:sz w:val="20"/>
          <w:szCs w:val="20"/>
        </w:rPr>
        <w:t xml:space="preserve"> Cục Đăng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kiểm Việt Nam chịu trách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nhiệm tổ chức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hiện Quy chuẩn này.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4.2.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kiểu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tiếp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hồ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đăng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ký kiểm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tra,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hồ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đăng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ký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hồ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đăng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ký 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trước thời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hiệu lực được tiếp tục kiểm tra,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nghiệm, 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 về 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an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môi trường đối với xe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giới tại thời điểm tiếp nhận.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4.3.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 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môi trường cấp trước thời điểm Quy chuẩn này có hiệu lực và báo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 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an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cấp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khoản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4.2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môi trường sau ngày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 có hiệu lực.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4.4.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2.6,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2.10.2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chuẩn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cấp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Giấy 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tiếp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hết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thời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Giấy 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sản xuất,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lắp ráp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chứng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 kỹ thuật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bảo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vệ môi trường sau ngày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 có hiệu lực.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4.5.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phạm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luật,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liệu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viện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dẫn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4C269B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sửa đổi, bổ sung, thay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thực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hiện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bản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phạm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luật, tài liệu được sửa đổi, bổ sung, thay thế đó.</w:t>
      </w:r>
    </w:p>
    <w:p w:rsidR="004C269B" w:rsidRPr="00074DDC" w:rsidRDefault="004C269B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074DDC" w:rsidRDefault="00074DDC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  <w:sectPr w:rsidR="00074DDC" w:rsidSect="00101DC2">
          <w:pgSz w:w="11907" w:h="16839" w:code="9"/>
          <w:pgMar w:top="1440" w:right="1440" w:bottom="1440" w:left="1440" w:header="0" w:footer="0" w:gutter="0"/>
          <w:cols w:space="720"/>
          <w:noEndnote/>
          <w:docGrid w:linePitch="326"/>
        </w:sectPr>
      </w:pPr>
    </w:p>
    <w:p w:rsidR="00B451B4" w:rsidRPr="00074DDC" w:rsidRDefault="00B451B4" w:rsidP="00FD59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Phụ lục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A</w:t>
      </w:r>
    </w:p>
    <w:p w:rsidR="00B451B4" w:rsidRDefault="00B451B4" w:rsidP="00FD59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Khả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năng quay vòng của tổ hợp xe</w:t>
      </w:r>
    </w:p>
    <w:p w:rsidR="00FD5933" w:rsidRPr="00074DDC" w:rsidRDefault="00FD5933" w:rsidP="00FD59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A.1. Khả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năng quay vòng của xe ô tô kéo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sơ mi rơ moóc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Xe ô tô kéo 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có khả 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 hai chiều trái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mặt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phẳng giới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bởi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tròn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đồng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(hình vành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khăn)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bán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kính ngoài R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12,5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 và bán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kính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 không nhỏ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5,3 m với điều kiện thử 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Khi xe ô tô 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tiến vào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khăn,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có phần nào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0,8 m so với đường tiếp tuyến.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(hình 10).</w:t>
      </w:r>
    </w:p>
    <w:p w:rsidR="00D60A88" w:rsidRPr="00074DDC" w:rsidRDefault="00101DC2" w:rsidP="00FD59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19600" cy="19526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B4" w:rsidRPr="00074DDC" w:rsidRDefault="00B451B4" w:rsidP="00FD5933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10. Quay vòng của tổ hợp xe ô tô kéo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sơ mi rơ moóc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A.2. Khả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năng quay vòng của xe ô tô kéo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rơ moóc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A.2.1.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ô tô kéo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 có khả di chuyển dễ dàng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 vòng tròn có bán kính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25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 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nằm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vòng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tròn,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tốc 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tốc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km/h,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tượng trượt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gây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khó khăn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 người điều khiển xe.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A.2.2.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Hiệu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số giữa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</w:t>
      </w:r>
      <w:r w:rsidRPr="00074DDC">
        <w:rPr>
          <w:rFonts w:ascii="Arial" w:hAnsi="Arial" w:cs="Arial"/>
          <w:sz w:val="20"/>
          <w:szCs w:val="20"/>
          <w:vertAlign w:val="subscript"/>
        </w:rPr>
        <w:t>2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</w:t>
      </w:r>
      <w:r w:rsidRPr="00074DDC">
        <w:rPr>
          <w:rFonts w:ascii="Arial" w:hAnsi="Arial" w:cs="Arial"/>
          <w:sz w:val="20"/>
          <w:szCs w:val="20"/>
          <w:vertAlign w:val="subscript"/>
        </w:rPr>
        <w:t>1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70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(hình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11),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</w:t>
      </w:r>
      <w:r w:rsidRPr="00074DDC">
        <w:rPr>
          <w:rFonts w:ascii="Arial" w:hAnsi="Arial" w:cs="Arial"/>
          <w:sz w:val="20"/>
          <w:szCs w:val="20"/>
          <w:vertAlign w:val="subscript"/>
        </w:rPr>
        <w:t>1</w:t>
      </w:r>
      <w:r w:rsidRPr="00074DDC">
        <w:rPr>
          <w:rFonts w:ascii="Arial" w:hAnsi="Arial" w:cs="Arial"/>
          <w:sz w:val="20"/>
          <w:szCs w:val="20"/>
        </w:rPr>
        <w:t>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</w:t>
      </w:r>
      <w:r w:rsidRPr="00074DDC">
        <w:rPr>
          <w:rFonts w:ascii="Arial" w:hAnsi="Arial" w:cs="Arial"/>
          <w:sz w:val="20"/>
          <w:szCs w:val="20"/>
          <w:vertAlign w:val="subscript"/>
        </w:rPr>
        <w:t>2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như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sau: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vòng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 tốc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ổn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5 km/h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trước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nằm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vòng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tròn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kính 25 m,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quỹ đạo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 cuối 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trái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(theo chiều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động)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tròn có bán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kính R</w:t>
      </w:r>
      <w:r w:rsidRPr="00074DDC">
        <w:rPr>
          <w:rFonts w:ascii="Arial" w:hAnsi="Arial" w:cs="Arial"/>
          <w:sz w:val="20"/>
          <w:szCs w:val="20"/>
          <w:vertAlign w:val="subscript"/>
        </w:rPr>
        <w:t>1</w:t>
      </w:r>
      <w:r w:rsidRPr="00074DDC">
        <w:rPr>
          <w:rFonts w:ascii="Arial" w:hAnsi="Arial" w:cs="Arial"/>
          <w:sz w:val="20"/>
          <w:szCs w:val="20"/>
        </w:rPr>
        <w:t>. Thử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nghiệm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tương tự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tốc</w:t>
      </w:r>
      <w:r w:rsidR="00E90A53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 xml:space="preserve">độ 25 km/h </w:t>
      </w:r>
      <w:r w:rsidR="00E90A53" w:rsidRPr="00074DDC">
        <w:rPr>
          <w:rFonts w:ascii="Arial" w:hAnsi="Arial" w:cs="Arial"/>
          <w:sz w:val="20"/>
          <w:szCs w:val="20"/>
        </w:rPr>
        <w:t>±</w:t>
      </w:r>
      <w:r w:rsidRPr="00074DDC">
        <w:rPr>
          <w:rFonts w:ascii="Arial" w:hAnsi="Arial" w:cs="Arial"/>
          <w:sz w:val="20"/>
          <w:szCs w:val="20"/>
        </w:rPr>
        <w:t xml:space="preserve"> 1 km/h để xác định R</w:t>
      </w:r>
      <w:r w:rsidRPr="00074DDC">
        <w:rPr>
          <w:rFonts w:ascii="Arial" w:hAnsi="Arial" w:cs="Arial"/>
          <w:sz w:val="20"/>
          <w:szCs w:val="20"/>
          <w:vertAlign w:val="subscript"/>
        </w:rPr>
        <w:t>2</w:t>
      </w:r>
      <w:r w:rsidRPr="00074DDC">
        <w:rPr>
          <w:rFonts w:ascii="Arial" w:hAnsi="Arial" w:cs="Arial"/>
          <w:sz w:val="20"/>
          <w:szCs w:val="20"/>
        </w:rPr>
        <w:t>.</w:t>
      </w:r>
    </w:p>
    <w:p w:rsidR="00E90A53" w:rsidRPr="00074DDC" w:rsidRDefault="00101DC2" w:rsidP="00FD59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81350" cy="2133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B4" w:rsidRPr="00074DDC" w:rsidRDefault="00B451B4" w:rsidP="00FD5933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11. Quay vòng của tổ hợp xe ô tô kéo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rơ moóc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A.2.3.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ổn định với tốc độ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25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km/h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ngoài cùng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phía trước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kéo nằm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 vòng tròn bán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kính 25 m, sau đó giữ nguyên tốc độ và 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khỏi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vòng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tròn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thẳng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tiếp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tuyến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đường tròn,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E90A53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Tính từ tiếp điểm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A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 B,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có 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 moóc vượt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50 cm so với đường tiếp tuyến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 (hình 12).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sz w:val="20"/>
          <w:szCs w:val="20"/>
        </w:rPr>
        <w:t>Sau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điểm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 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chuyển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bị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lệch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rung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 bất thường làm ảnh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hưởng đến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hệ thống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lái xe kéo.</w:t>
      </w:r>
    </w:p>
    <w:p w:rsidR="00E63683" w:rsidRPr="00074DDC" w:rsidRDefault="00101DC2" w:rsidP="00FD59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24225" cy="24479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B4" w:rsidRPr="00074DDC" w:rsidRDefault="00B451B4" w:rsidP="00FD5933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Hình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12. Quay vòng của tổ hợp xe ô tô kéo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rơ moóc</w:t>
      </w:r>
    </w:p>
    <w:p w:rsidR="00E63683" w:rsidRPr="00074DDC" w:rsidRDefault="00E63683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FD5933" w:rsidRDefault="00FD5933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  <w:sectPr w:rsidR="00FD5933" w:rsidSect="00101DC2">
          <w:pgSz w:w="11907" w:h="16839" w:code="9"/>
          <w:pgMar w:top="1440" w:right="1440" w:bottom="1440" w:left="1440" w:header="0" w:footer="0" w:gutter="0"/>
          <w:cols w:space="720"/>
          <w:noEndnote/>
          <w:docGrid w:linePitch="326"/>
        </w:sectPr>
      </w:pPr>
    </w:p>
    <w:p w:rsidR="00B451B4" w:rsidRPr="00074DDC" w:rsidRDefault="00B451B4" w:rsidP="00FD59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Phụ lục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B</w:t>
      </w:r>
    </w:p>
    <w:p w:rsidR="00B451B4" w:rsidRDefault="00B451B4" w:rsidP="00FD59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Nguyên tắc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tính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toán và ghi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nhận khối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lượng</w:t>
      </w:r>
    </w:p>
    <w:p w:rsidR="00FD5933" w:rsidRPr="00074DDC" w:rsidRDefault="00FD5933" w:rsidP="00FD59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B.1. Nguyên tắc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tính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toán xác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định và ghi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nhận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B.1.1.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tổ hợp xe do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quan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chức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năng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thẩm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quyền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B.1.2.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tắc xếp tải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B.1.2.1.</w:t>
      </w:r>
      <w:r w:rsidRPr="00074DDC">
        <w:rPr>
          <w:rFonts w:ascii="Arial" w:hAnsi="Arial" w:cs="Arial"/>
          <w:sz w:val="20"/>
          <w:szCs w:val="20"/>
        </w:rPr>
        <w:t xml:space="preserve"> Nguyên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hóa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 phải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dàn đều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định.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B.1.2.2.</w:t>
      </w:r>
      <w:r w:rsidRPr="00074DDC">
        <w:rPr>
          <w:rFonts w:ascii="Arial" w:hAnsi="Arial" w:cs="Arial"/>
          <w:sz w:val="20"/>
          <w:szCs w:val="20"/>
        </w:rPr>
        <w:t xml:space="preserve"> Nguyên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 đối với xe xi téc: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 đúng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loại 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hóa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chuyên chở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nước 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nếu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phù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đều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 khoang chứa 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xi téc.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B.1.3.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Nguyên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chiều dài cơ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sở 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(Lcs), chiều dài đuôi xe (ROH): được nêu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 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2.1.4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Quy chuẩn này.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có 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giữa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liền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kề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nhau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thì lựa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chọn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trị khoảng cách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nhỏ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 xác định tải trọng trục cho 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B.2. Phương pháp tính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toán xác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định và ghi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b/>
          <w:sz w:val="20"/>
          <w:szCs w:val="20"/>
        </w:rPr>
        <w:t>nhận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B.2.1.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pháp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1: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B.2.1.1.</w:t>
      </w:r>
      <w:r w:rsidRPr="00074DDC">
        <w:rPr>
          <w:rFonts w:ascii="Arial" w:hAnsi="Arial" w:cs="Arial"/>
          <w:sz w:val="20"/>
          <w:szCs w:val="20"/>
        </w:rPr>
        <w:t xml:space="preserve"> Tính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pháp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lập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trình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bằng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mô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men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tĩnh học,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trị 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 và tọa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độ 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thành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phần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tham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 tính toán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 trị tải trọng trục cho 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B.2.1.2.</w:t>
      </w:r>
      <w:r w:rsidRPr="00074DDC">
        <w:rPr>
          <w:rFonts w:ascii="Arial" w:hAnsi="Arial" w:cs="Arial"/>
          <w:sz w:val="20"/>
          <w:szCs w:val="20"/>
        </w:rPr>
        <w:t xml:space="preserve"> Vị trí 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tâm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hóa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nguyên tắc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 nêu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 mục B.1.2 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lục này.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B.2.1.3.</w:t>
      </w:r>
      <w:r w:rsidRPr="00074DDC">
        <w:rPr>
          <w:rFonts w:ascii="Arial" w:hAnsi="Arial" w:cs="Arial"/>
          <w:sz w:val="20"/>
          <w:szCs w:val="20"/>
        </w:rPr>
        <w:t xml:space="preserve"> Khối lượng 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 cho 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 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tính toán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nguyên tắc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 mục B.1.1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lục này (lựa chọn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 trị nhỏ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 một 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 trị được tính toán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 trị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của: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 rơ moóc,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tổ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xe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sơ mi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rơ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moóc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ô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tô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đầu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sử 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tính toán).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B.2.2.</w:t>
      </w:r>
      <w:r w:rsidR="00C1334C" w:rsidRPr="00074DDC">
        <w:rPr>
          <w:rFonts w:ascii="Arial" w:hAnsi="Arial" w:cs="Arial"/>
          <w:b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pháp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2: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B.2.2.1.</w:t>
      </w:r>
      <w:r w:rsidRPr="00074DDC">
        <w:rPr>
          <w:rFonts w:ascii="Arial" w:hAnsi="Arial" w:cs="Arial"/>
          <w:sz w:val="20"/>
          <w:szCs w:val="20"/>
        </w:rPr>
        <w:t xml:space="preserve"> Xếp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nguyên tắc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B.1.2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kết quả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cân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thực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tế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tới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trị 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hoặc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khối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 bộ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 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B.1.1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lục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và ghi nhận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giá trị khối lượng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toàn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bộ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đạt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yêu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cầu.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Phương pháp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áp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dụng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 các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sau đây: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 xml:space="preserve">B.2.2.1.1. </w:t>
      </w:r>
      <w:r w:rsidRPr="00074DDC">
        <w:rPr>
          <w:rFonts w:ascii="Arial" w:hAnsi="Arial" w:cs="Arial"/>
          <w:sz w:val="20"/>
          <w:szCs w:val="20"/>
        </w:rPr>
        <w:t>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xác định được vị trí trọng tâm hàng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hóa;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B.2.2.1.2.</w:t>
      </w:r>
      <w:r w:rsidRPr="00074DDC">
        <w:rPr>
          <w:rFonts w:ascii="Arial" w:hAnsi="Arial" w:cs="Arial"/>
          <w:sz w:val="20"/>
          <w:szCs w:val="20"/>
        </w:rPr>
        <w:t xml:space="preserve">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có từ ba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trở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lên có một trục là trục 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 (Lift Axle) có 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chỉnh, giá trị tải 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nguyên tắc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 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B.1.1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lục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nhưng không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được 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8.000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kg trên một trục;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74DDC">
        <w:rPr>
          <w:rFonts w:ascii="Arial" w:hAnsi="Arial" w:cs="Arial"/>
          <w:b/>
          <w:sz w:val="20"/>
          <w:szCs w:val="20"/>
        </w:rPr>
        <w:t>B.2.2.1.3.</w:t>
      </w:r>
      <w:r w:rsidRPr="00074DDC">
        <w:rPr>
          <w:rFonts w:ascii="Arial" w:hAnsi="Arial" w:cs="Arial"/>
          <w:sz w:val="20"/>
          <w:szCs w:val="20"/>
        </w:rPr>
        <w:t xml:space="preserve"> Trường hợp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một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trong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hai 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là trục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nâng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hạ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(Lift Axle)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có thể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điều chỉnh, giá trị tải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trọng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cho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phép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lớn nhất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074DDC">
        <w:rPr>
          <w:rFonts w:ascii="Arial" w:hAnsi="Arial" w:cs="Arial"/>
          <w:sz w:val="20"/>
          <w:szCs w:val="20"/>
        </w:rPr>
        <w:t>cụm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trục này được xác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định theo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nguyên tắc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nêu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tại mục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B.1.1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của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Phụ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lục này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nhưng không được lớn hơn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9.000</w:t>
      </w:r>
      <w:r w:rsidR="00C1334C" w:rsidRPr="00074DDC">
        <w:rPr>
          <w:rFonts w:ascii="Arial" w:hAnsi="Arial" w:cs="Arial"/>
          <w:sz w:val="20"/>
          <w:szCs w:val="20"/>
        </w:rPr>
        <w:t xml:space="preserve"> </w:t>
      </w:r>
      <w:r w:rsidRPr="00074DDC">
        <w:rPr>
          <w:rFonts w:ascii="Arial" w:hAnsi="Arial" w:cs="Arial"/>
          <w:sz w:val="20"/>
          <w:szCs w:val="20"/>
        </w:rPr>
        <w:t>kg trên một trục.</w:t>
      </w:r>
    </w:p>
    <w:p w:rsidR="00B451B4" w:rsidRPr="00074DDC" w:rsidRDefault="00B451B4" w:rsidP="00074DD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sectPr w:rsidR="00B451B4" w:rsidRPr="00074DDC" w:rsidSect="00101DC2">
      <w:pgSz w:w="11907" w:h="16839" w:code="9"/>
      <w:pgMar w:top="1440" w:right="1440" w:bottom="1440" w:left="144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06"/>
    <w:rsid w:val="00016BE7"/>
    <w:rsid w:val="00061842"/>
    <w:rsid w:val="0007390C"/>
    <w:rsid w:val="00074DDC"/>
    <w:rsid w:val="00082570"/>
    <w:rsid w:val="000A3EDD"/>
    <w:rsid w:val="000E5D69"/>
    <w:rsid w:val="00101DC2"/>
    <w:rsid w:val="00102515"/>
    <w:rsid w:val="00113AD9"/>
    <w:rsid w:val="00115A76"/>
    <w:rsid w:val="00135B7E"/>
    <w:rsid w:val="0014070F"/>
    <w:rsid w:val="00144A96"/>
    <w:rsid w:val="001D7047"/>
    <w:rsid w:val="001E1DCD"/>
    <w:rsid w:val="002A1B4C"/>
    <w:rsid w:val="002A376F"/>
    <w:rsid w:val="003212F5"/>
    <w:rsid w:val="003309AA"/>
    <w:rsid w:val="00351289"/>
    <w:rsid w:val="00392E9F"/>
    <w:rsid w:val="003A5D9A"/>
    <w:rsid w:val="003A6806"/>
    <w:rsid w:val="003B07A4"/>
    <w:rsid w:val="00435CB4"/>
    <w:rsid w:val="00484182"/>
    <w:rsid w:val="004861C9"/>
    <w:rsid w:val="004A2C14"/>
    <w:rsid w:val="004A5EC2"/>
    <w:rsid w:val="004B69B8"/>
    <w:rsid w:val="004C269B"/>
    <w:rsid w:val="004F163E"/>
    <w:rsid w:val="005137B1"/>
    <w:rsid w:val="0057338D"/>
    <w:rsid w:val="00601DA2"/>
    <w:rsid w:val="00647B60"/>
    <w:rsid w:val="006C00C7"/>
    <w:rsid w:val="006D389D"/>
    <w:rsid w:val="00764D85"/>
    <w:rsid w:val="00777817"/>
    <w:rsid w:val="00782ECF"/>
    <w:rsid w:val="007B0036"/>
    <w:rsid w:val="00834E0A"/>
    <w:rsid w:val="00841836"/>
    <w:rsid w:val="00852F13"/>
    <w:rsid w:val="008557BE"/>
    <w:rsid w:val="00875738"/>
    <w:rsid w:val="008B4B83"/>
    <w:rsid w:val="008B4EDF"/>
    <w:rsid w:val="008D1506"/>
    <w:rsid w:val="008F214E"/>
    <w:rsid w:val="00982290"/>
    <w:rsid w:val="00984086"/>
    <w:rsid w:val="009C63F4"/>
    <w:rsid w:val="009D182D"/>
    <w:rsid w:val="009E30B8"/>
    <w:rsid w:val="00A17793"/>
    <w:rsid w:val="00A42F34"/>
    <w:rsid w:val="00A751C1"/>
    <w:rsid w:val="00AA0BEF"/>
    <w:rsid w:val="00AA4FA5"/>
    <w:rsid w:val="00B26E98"/>
    <w:rsid w:val="00B26FC9"/>
    <w:rsid w:val="00B31846"/>
    <w:rsid w:val="00B33E4B"/>
    <w:rsid w:val="00B40875"/>
    <w:rsid w:val="00B451B4"/>
    <w:rsid w:val="00B53F27"/>
    <w:rsid w:val="00BB3718"/>
    <w:rsid w:val="00BB4955"/>
    <w:rsid w:val="00BC0051"/>
    <w:rsid w:val="00C1334C"/>
    <w:rsid w:val="00C36709"/>
    <w:rsid w:val="00C64AA1"/>
    <w:rsid w:val="00CA4C94"/>
    <w:rsid w:val="00CC4C9C"/>
    <w:rsid w:val="00CF4D1B"/>
    <w:rsid w:val="00D22D23"/>
    <w:rsid w:val="00D60A88"/>
    <w:rsid w:val="00DB3A9C"/>
    <w:rsid w:val="00DF65AB"/>
    <w:rsid w:val="00E212E7"/>
    <w:rsid w:val="00E63683"/>
    <w:rsid w:val="00E63BA9"/>
    <w:rsid w:val="00E76A2C"/>
    <w:rsid w:val="00E90A53"/>
    <w:rsid w:val="00EC3612"/>
    <w:rsid w:val="00F03B1D"/>
    <w:rsid w:val="00F672B0"/>
    <w:rsid w:val="00F706C2"/>
    <w:rsid w:val="00FA5700"/>
    <w:rsid w:val="00FB31FF"/>
    <w:rsid w:val="00FB3A06"/>
    <w:rsid w:val="00FC6E5B"/>
    <w:rsid w:val="00FD5933"/>
    <w:rsid w:val="00FF5CB2"/>
    <w:rsid w:val="00FF704C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chartTrackingRefBased/>
  <w15:docId w15:val="{8D82973B-DA2D-4667-8A69-7A9FB51B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DefaultParagraphFontPara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A5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ceABox">
    <w:name w:val="OnceABox"/>
    <w:basedOn w:val="DefaultParagraphFont"/>
    <w:rsid w:val="005137B1"/>
    <w:rPr>
      <w:color w:val="FF0000"/>
      <w:spacing w:val="3"/>
    </w:rPr>
  </w:style>
  <w:style w:type="paragraph" w:customStyle="1" w:styleId="DefaultParagraphFontParaCharCharCharCharChar">
    <w:name w:val="Default Paragraph Font Para Char Char Char Char Char"/>
    <w:link w:val="DefaultParagraphFont"/>
    <w:autoRedefine/>
    <w:rsid w:val="00EC3612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DC4E-A167-434D-A89D-88D76F8D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6875</Words>
  <Characters>39192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- 22. QCVN11_2024_final_19122024_B£n trình ký</vt:lpstr>
    </vt:vector>
  </TitlesOfParts>
  <Company>HOME</Company>
  <LinksUpToDate>false</LinksUpToDate>
  <CharactersWithSpaces>45976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- 22. QCVN11_2024_final_19122024_B£n trình ký</dc:title>
  <dc:subject/>
  <dc:creator>Admin</dc:creator>
  <cp:keywords/>
  <dc:description>Document was created by {applicationname}, version: {version}</dc:description>
  <cp:lastModifiedBy>LVN_2019_hp03</cp:lastModifiedBy>
  <cp:revision>3</cp:revision>
  <dcterms:created xsi:type="dcterms:W3CDTF">2025-01-14T06:54:00Z</dcterms:created>
  <dcterms:modified xsi:type="dcterms:W3CDTF">2025-01-14T07:05:00Z</dcterms:modified>
</cp:coreProperties>
</file>