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1C" w:rsidRPr="00163779" w:rsidRDefault="00C26883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3779">
        <w:rPr>
          <w:rFonts w:ascii="Arial" w:hAnsi="Arial" w:cs="Arial"/>
          <w:b/>
          <w:sz w:val="20"/>
          <w:szCs w:val="20"/>
        </w:rPr>
        <w:t>QCVN 52:2024/BGTVT</w:t>
      </w:r>
    </w:p>
    <w:p w:rsidR="00163779" w:rsidRP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3779">
        <w:rPr>
          <w:rFonts w:ascii="Arial" w:hAnsi="Arial" w:cs="Arial"/>
          <w:b/>
          <w:sz w:val="20"/>
          <w:szCs w:val="20"/>
        </w:rPr>
        <w:t>QUY CHUẨN KỸ THUẬT QUỐC GIA</w:t>
      </w:r>
      <w:r w:rsidR="00C26883" w:rsidRPr="00163779">
        <w:rPr>
          <w:rFonts w:ascii="Arial" w:hAnsi="Arial" w:cs="Arial"/>
          <w:b/>
          <w:sz w:val="20"/>
          <w:szCs w:val="20"/>
        </w:rPr>
        <w:t xml:space="preserve"> 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3779">
        <w:rPr>
          <w:rFonts w:ascii="Arial" w:hAnsi="Arial" w:cs="Arial"/>
          <w:b/>
          <w:sz w:val="20"/>
          <w:szCs w:val="20"/>
        </w:rPr>
        <w:t>VỀ KẾT CẤU AN TOÀN CHỐNG CHÁY CỦA XE CƠ GIỚI</w:t>
      </w:r>
    </w:p>
    <w:p w:rsidR="0058211C" w:rsidRPr="00FD2B02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D2B02">
        <w:rPr>
          <w:rFonts w:ascii="Arial" w:hAnsi="Arial" w:cs="Arial"/>
          <w:b/>
          <w:i/>
          <w:sz w:val="20"/>
          <w:szCs w:val="20"/>
        </w:rPr>
        <w:t>National technical regulation on</w:t>
      </w:r>
      <w:r w:rsidR="00C26883" w:rsidRPr="00FD2B02">
        <w:rPr>
          <w:rFonts w:ascii="Arial" w:hAnsi="Arial" w:cs="Arial"/>
          <w:b/>
          <w:i/>
          <w:sz w:val="20"/>
          <w:szCs w:val="20"/>
        </w:rPr>
        <w:t xml:space="preserve"> </w:t>
      </w:r>
      <w:r w:rsidRPr="00FD2B02">
        <w:rPr>
          <w:rFonts w:ascii="Arial" w:hAnsi="Arial" w:cs="Arial"/>
          <w:b/>
          <w:i/>
          <w:sz w:val="20"/>
          <w:szCs w:val="20"/>
        </w:rPr>
        <w:t>motor vehicle structure to the prevention of fire risks</w:t>
      </w:r>
    </w:p>
    <w:p w:rsidR="00C26883" w:rsidRPr="00163779" w:rsidRDefault="00C26883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163779">
        <w:rPr>
          <w:rFonts w:ascii="Arial" w:hAnsi="Arial" w:cs="Arial"/>
          <w:b/>
          <w:sz w:val="20"/>
          <w:szCs w:val="20"/>
        </w:rPr>
        <w:t>Lời nói đầu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63779">
        <w:rPr>
          <w:rFonts w:ascii="Arial" w:hAnsi="Arial" w:cs="Arial"/>
          <w:sz w:val="20"/>
          <w:szCs w:val="20"/>
        </w:rPr>
        <w:t>QCVN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52:2024/BGTVT do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Cục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Đăng kiểm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Việt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Nam biên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soạn,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Vụ Khoa học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- Công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nghệ và Môi trường trình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duyệt, Bộ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Khoa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học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và Công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nghệ thẩm định, Bộ Giao thông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vận tải ban hành theo Thông</w:t>
      </w:r>
      <w:r w:rsidR="00C26883" w:rsidRPr="00163779">
        <w:rPr>
          <w:rFonts w:ascii="Arial" w:hAnsi="Arial" w:cs="Arial"/>
          <w:sz w:val="20"/>
          <w:szCs w:val="20"/>
        </w:rPr>
        <w:t xml:space="preserve"> </w:t>
      </w:r>
      <w:r w:rsidRPr="00163779">
        <w:rPr>
          <w:rFonts w:ascii="Arial" w:hAnsi="Arial" w:cs="Arial"/>
          <w:sz w:val="20"/>
          <w:szCs w:val="20"/>
        </w:rPr>
        <w:t>tư số 48/2024/TT-BGTVT ngày 15 tháng 11 năm 2024.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63779">
        <w:rPr>
          <w:rFonts w:ascii="Arial" w:hAnsi="Arial" w:cs="Arial"/>
          <w:sz w:val="20"/>
          <w:szCs w:val="20"/>
        </w:rPr>
        <w:t>Quy chuẩn QCVN 52:2024/BGTVT thay thế QCVN 52:2019/BGTVT</w:t>
      </w:r>
    </w:p>
    <w:p w:rsidR="00C26883" w:rsidRPr="00163779" w:rsidRDefault="00C26883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QUY CHUẨN KỸ THUẬT QUỐC GIA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VỀ KẾT CẤU AN TOÀN CHỐNG CHÁY CỦA XE CƠ GIỚI</w:t>
      </w:r>
    </w:p>
    <w:p w:rsid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163779">
        <w:rPr>
          <w:rFonts w:ascii="Arial" w:hAnsi="Arial" w:cs="Arial"/>
          <w:b/>
          <w:i/>
          <w:color w:val="000000"/>
          <w:sz w:val="20"/>
          <w:szCs w:val="20"/>
        </w:rPr>
        <w:t>National technical regulation on</w:t>
      </w:r>
      <w:r w:rsidR="00C26883" w:rsidRPr="00163779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i/>
          <w:color w:val="000000"/>
          <w:sz w:val="20"/>
          <w:szCs w:val="20"/>
        </w:rPr>
        <w:t xml:space="preserve">motor vehicle structure to </w:t>
      </w:r>
    </w:p>
    <w:p w:rsidR="0058211C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163779">
        <w:rPr>
          <w:rFonts w:ascii="Arial" w:hAnsi="Arial" w:cs="Arial"/>
          <w:b/>
          <w:i/>
          <w:color w:val="000000"/>
          <w:sz w:val="20"/>
          <w:szCs w:val="20"/>
        </w:rPr>
        <w:t>the prevention of fire risks</w:t>
      </w:r>
    </w:p>
    <w:p w:rsidR="00163779" w:rsidRPr="00163779" w:rsidRDefault="00163779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:rsidR="0058211C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 QUY ĐỊNH CHUNG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Phạm vi điều chỉnh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định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về yêu cầu kỹ thuật và phương pháp thử trong kiểm tra, thử nghiệm, chứng nhận chất lượng an toàn kỹ thuật và bảo vệ môi trường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sản xuất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ráp và nhập khẩu đối với kết cấu an toàn chống cháy của các kiểu loại xe ô tô thuộc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nhóm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ô tô chở người, nhóm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ô tô chở hàng (ô tô tải), nhóm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rơ moóc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sơ mi rơ moóc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chứa nhiên liệu lỏng mới (sau đây gọi tắt là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liệu).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Đối tượng áp dụng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Quy chuẩn này áp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đối với: các cơ sở sản xuất, lắp ráp trong nước, tổ chức, cá nhân nhập khẩu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liệu;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cơ sở sản xuất,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ráp, nhập khẩu xe cơ giới; các tổ chức, cá nhân liên quan đến quản lý, kiểm tra, thử nghiệm, chứng nhận chất lượng an toàn kỹ thuật và bảo vệ môi trường đối với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Giải thích từ ngữ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Khoang chở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người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(passenger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compartment) là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khoảng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gian dành cho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người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ngồi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trên xe, được giới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hạn bởi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trần xe, sàn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xe,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thành bên, các cửa, kính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bên, vách ngăn phía trước, vách ngăn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phía sau của ghế sau cùng.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Thùng nhiên liệu</w:t>
      </w:r>
      <w:r w:rsidRPr="00163779">
        <w:rPr>
          <w:rFonts w:ascii="Arial" w:hAnsi="Arial" w:cs="Arial"/>
          <w:color w:val="000000"/>
          <w:sz w:val="20"/>
          <w:szCs w:val="20"/>
        </w:rPr>
        <w:t xml:space="preserve"> (tank) là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thiết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kế để chứa 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 lỏng theo định nghĩa tại mục 1.3.4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Quy chuẩn này, được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chủ yếu cho nguồn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lực của xe.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1.3.3.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Dung tích của thùng nhiên liệu</w:t>
      </w:r>
      <w:r w:rsidRPr="00163779">
        <w:rPr>
          <w:rFonts w:ascii="Arial" w:hAnsi="Arial" w:cs="Arial"/>
          <w:color w:val="000000"/>
          <w:sz w:val="20"/>
          <w:szCs w:val="20"/>
        </w:rPr>
        <w:t xml:space="preserve"> (capacity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of the fuel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tank) là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tích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theo quy định của cơ sở sản xuất.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1.3.4.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Nhiên liệu lỏng</w:t>
      </w:r>
      <w:r w:rsidRPr="00163779">
        <w:rPr>
          <w:rFonts w:ascii="Arial" w:hAnsi="Arial" w:cs="Arial"/>
          <w:color w:val="000000"/>
          <w:sz w:val="20"/>
          <w:szCs w:val="20"/>
        </w:rPr>
        <w:t xml:space="preserve"> (liquid fuel) là nhiên liệu ở trạng thái lỏng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điều kiện nhiệt độ và áp suất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thường.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1.3.5.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Khối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 xml:space="preserve">lượng bản thân xe </w:t>
      </w:r>
      <w:r w:rsidRPr="00163779">
        <w:rPr>
          <w:rFonts w:ascii="Arial" w:hAnsi="Arial" w:cs="Arial"/>
          <w:color w:val="000000"/>
          <w:sz w:val="20"/>
          <w:szCs w:val="20"/>
        </w:rPr>
        <w:t>(unladen mass) là khối lượng của xe không có lái xe, hành khách hoặc hàng hóa, nhưng có nhiên liệu được đổ tới mức bằng 90%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tích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liệu, chất lỏng làm mát, dầu bôi trơn, bộ đồ sửa chữa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thường kèm theo xe và bánh xe dự phòng (nếu có) để có thể sẵn sàng hoạt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 QUY ĐỊNH VỀ KỸ THUẬT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Các yêu cầu đối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với thùng nhiên liệu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có thể được làm bằng vật liệu kim loại chống cháy hoặc vật liệu chất dẻo. Đối với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làm bằng vật liệu kim loại chống cháy 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đáp ứng các yêu cầu từ 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2.1.2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đến 2.1.5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và đối với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 làm bằng vật liệu chất dẻo phải đáp ứng các yêu cầu từ mục 2.1.2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đến 2.1.8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Quy chuẩn này.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chế tạo để chống lại sự ăn mòn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nhiên liệu.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 xml:space="preserve">Bất kỳ một áp suất dư hoặc bất kỳ áp suất nào vượt quá áp suất làm việc phải được tự </w:t>
      </w:r>
      <w:r w:rsidRPr="00163779">
        <w:rPr>
          <w:rFonts w:ascii="Arial" w:hAnsi="Arial" w:cs="Arial"/>
          <w:color w:val="000000"/>
          <w:sz w:val="20"/>
          <w:szCs w:val="20"/>
        </w:rPr>
        <w:lastRenderedPageBreak/>
        <w:t>cân bằng bởi thiết bị phù hợp (lỗ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hơi, van an toàn,...).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Khả năng chống rò rỉ bằng chất lỏng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Các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khi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 mà thường gắn liền với chúng sau khi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theo 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A.1 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 A của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vỏ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vỡ hoặc rò rỉ; tuy nhiên,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thể bị biến dạng vĩnh viễn.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làm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bằng vật 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chất dẻo được coi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là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phù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hợp yêu cầu này nếu thoả mãn các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định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theo 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2.1.7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Khả năng chống rò rỉ khi bị lật thùng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Nhiên liệu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thoát ra ngoài qua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 qua các thiết bị được lắp đặt để cân bằng áp suất dư. Sau khi thử nghiệm theo mục A.2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A của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này, 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rò rỉ vượt quá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30 g/min.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liên kết với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nạp. Quy định này được coi là thỏa mãn nếu có nắp dự phòng ngăn chặn nhiên liệu dư thừa bay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hơi hoặc tràn ra ngoài do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mất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liệu. Điều này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thể đạt được nếu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một trong những cách dưới đây: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2.1.5.1.1.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Một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đóng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mở tự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thể tháo rời.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2.1.5.1.2.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Có thiết kế tránh nhiên liệu dư thừa bay hơi hoặc tràn do mất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2.1.5.1.3.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Bất kỳ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dự phòng nào khác tương đương. Ví dụ, có thể bao gồm nhưng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giới hạn, một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cố định bằng dây, xích hoặc chìa khóa vừa để khóa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vừa để khởi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xe (trong trường hợp này, chìa khóa chỉ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tháo rời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khỏi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đã khóa). Tuy nhiên, đối với những ô tô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thuộc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nhóm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ô tô con và ô tô tải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khối lượng toàn bộ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lớn hơn 3,5 tấn thì việc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dây hay xích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để cố định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là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đủ.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2.1.5.2.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Gioăng làm kín giữa nắp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ống tiếp nhiên liệu phải được giữ chắc chắn ở đúng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vị trí. Nắp phải được cố định chắc chắn với cổ ống tiếp nhiên liệu khi đóng.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2.1.6.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Độ bền va chạm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Sau khi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theo 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B.1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 của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rò rỉ.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2.1.7.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Độ bền cơ học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Sau khi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theo 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B.2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 của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các phụ kiện của nó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vỡ hoặc rò rỉ; tuy nhiên, nó có thể bị biến dạng vĩnh viễn.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2.1.8.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Dán nhãn trên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Trên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có tên thương mại hoặc ký hiệu nhận biết của nhà sản xuất. Tên thương mại hoặc ký hiệu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nhận biết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nhà sản xuất phải rõ ràng, dễ đọc,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khó tẩy xóa.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Các yêu cầu về lắp đặt hệ thống nhiên liệu trên xe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 về lắp đặt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trên xe có thể được thực hiện với kiểu loại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và/hoặc kiểu loại xe. Khi thử nghiệm với kiểu loại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thì cơ sở đăng ký thử nghiệm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 lắp đặt kiểu loại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trên xe đáp ứng các điều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nghiệm về lắp đặt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trên xe có thể được thực hiện cùng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 thử nghiệm an toàn kỹ thuật và bảo vệ môi trường đối với xe.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lỗ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hơi phải được thiết kế sao cho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hơi 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 thoát ra từ lỗ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hơi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bay vào khoang chở người hoặc những nơi có nhiệt độ cao như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cơ,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khí thải. Đặc biệt là khi thùng nhiên liệu được đổ đầy nhiên liệu thì nhiên liệu rò rỉ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chảy xuống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khí thải mà phải được dẫn để chảy xuống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đất.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đặt ở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khoang chở người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trực tiếp lên bề mặt của khoang chở người (sàn xe, thành bên, vách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ngăn) hoặc khoang khác liền với khoang chở người.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 có vách ngăn để ngăn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với khoang chở người. Vách ngăn có thể có lỗ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(để luồn dây) sao cho nhiên liệu không được chảy tự do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từ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vào khoang chở người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 các khoang khác liền với khoang chở người trong điều kiện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bình thường.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2.2.5.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Mỗi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chắc chắn và được đặt ở vị trí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đảm bảo rằng tất cả nhiên liệu bị rò rỉ từ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các phụ kiện của nó phải được chảy xuống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đất và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chảy vào khoang chở người hoặc các khoang khác liền với khoang chở người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điều kiện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bình thường.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2.2.6.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Lỗ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tiếp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đặt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khoang chở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người, khoang hành lý hoặc khoang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cơ.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2.2.7.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lắp đặt để có khả năng bảo vệ được chống lại tác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va chạm từ đằng trước hoặc sau xe;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có phần nhô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ra ngoài xe,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có các cạnh sắc ở gần thùng.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2.2.8.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cổ ống tiếp nhiên liệu phải được thiết kế và lắp đặt trên xe để tránh sự tích điện tĩnh ở trên toàn bộ bề mặt của thùng.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Nếu có sự tích điện trên bề mặt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thì điện tích này phải được phóng vào kết cấu kim loại của khung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xe hoặc một khối kim loại lớn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qua một dây dẫn tốt.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2.2.9.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Lắp đặt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2.2.9.1.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bộ phận để lắp đặt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bảo vệ an toàn bằng các bộ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phận của khung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 thân xe để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va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chạm vào chướng ngại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vật trên mặt đường.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cần sự bảo vệ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này nếu phần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dưới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cách xa nền đường hơn phần khung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thân xe ở phía trước nó.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2.2.9.2.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ống và tất cả các phụ kiện khác để lắp đặt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bố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trí trên xe ở các vị trí được bảo vệ tốt nhất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thể. Các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chuyển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xoắn, uốn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dao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các kết cấu của xe hay bộ phận truyền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gây ra ma sát, nén hoặc ép căng bất thường với các bộ phận lắp đặt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2.2.9.3.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Liên kết giữa các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mềm với các phần cứng của bộ phận lắp đặt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có kết cấu để chống rò rỉ dưới các điều kiện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khác nhau của xe,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bị ảnh hưởng bởi các chuyển động xoắn, uốn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dao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kết cấu xe hay bộ phận truyền động.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2.2.9.4.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Nếu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tiếp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đặt ở thành bên của xe thì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nắp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tiếp nhiên liệu khi đóng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nhô ra khỏi bề mặt thành xe.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2.2.10.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Lắp đặt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điện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2.2.10.1.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dây điện mà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đặt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bảo vệ phải được gắn vào kết cấu xe, thành bên hoặc vách ngăn. Các vị trí mà dây điện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 qua thành bên, vách ngăn phải được bảo vệ, tránh hư hỏng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lớp cách điện.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2.2.10.2.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điện phải được lắp đặt và trang bị các 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 có thể chống lại sự mài mòn ở những chỗ tiếp xúc.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 QUY ĐỊNH VỀ QUẢN LÝ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Phương thức kiểm tra, thử nghiệm, chứng nhận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nhập khẩu, sản xuất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ráp 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kiểm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tra,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nghiệm, chứng nhận theo quy định về chất lượng an toàn kỹ thuật và bảo vệ môi trường đối với phụ tùng xe cơ giới.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Tài liệu kỹ thuật và mẫu thử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Khi đăng ký thử nghiệm, các cơ sở sản xuất, lắp ráp, nhập khẩu xe, các cơ sở sản xuất, lắp ráp, nhập khẩu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cung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cấp cho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cơ sở thử nghiệm tài liệu kỹ thuật và mẫu thử theo yêu cầu nêu tại mục 3.2.1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3.2.2.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Quy chuẩn này.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3.2.1.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Yêu cầu về tài liệu kỹ thuật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Bản vẽ kỹ thuật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liệu: các bản vẽ phải thể hiện đầy đủ các đặc tính kỹ thuật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vật liệu chế tạo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3.2.2.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Yêu cầu về mẫu thử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Số lượng mẫu thử cho mỗi kiểu loại sản phẩm cần thử nghiệm gồm có: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02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đối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loại,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02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đối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loại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được làm bằng vật liệu chất dẻo.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3.3.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Báo cáo thử nghiệm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Cơ sở thử nghiệm có trách nhiệm lập báo cáo thử nghiệm.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4. TỔ CHỨC THỰC HIỆN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4.1.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Đăng kiểm Việt Nam chịu trách nhiệm tổ chức thực hiện Quy chuẩn này.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4.2.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kiểu loại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đã được tiếp nhận hồ sơ đăng ký kiểm tra, hồ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sơ đăng ký thử nghiệm,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hồ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sơ đăng ký chứng nhận trước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điểm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lực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tiếp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tra, thử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nghiệm,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chứng nhận theo quy định về chất lượng an toàn kỹ thuật và bảo vệ môi trường đối với phụ tùng xe cơ giới tại thời điểm tiếp nhận.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4.3.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Báo cáo thử nghiệm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chất lượng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an toàn kỹ thuật và bảo vệ môi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trường cấp trước thời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lực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báo cáo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 chất lượng an toàn kỹ thuật và bảo vệ môi trường cấp theo điểm 4.2 Quy chuẩn này tiếp tục được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để chứng nhận chất lượng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an toàn kỹ thuật và bảo vệ môi trường sau ngày Quy chuẩn này có hiệu lực.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4.4.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Trường hợp các văn bản quy phạm pháp luật, tài liệu được viện dẫn trong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chuẩn này 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sửa đổi, bổ sung, thay thế thì thực hiện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theo các văn bản quy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phạm pháp luật,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tài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sửa đổi,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bổ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sung,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thay thế đó./.</w:t>
      </w:r>
    </w:p>
    <w:p w:rsidR="00C26883" w:rsidRPr="00163779" w:rsidRDefault="00C26883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63779" w:rsidRDefault="00163779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  <w:sectPr w:rsidR="00163779" w:rsidSect="00163779">
          <w:pgSz w:w="11907" w:h="16839" w:code="9"/>
          <w:pgMar w:top="1440" w:right="1440" w:bottom="1440" w:left="1440" w:header="0" w:footer="0" w:gutter="0"/>
          <w:cols w:space="720"/>
          <w:noEndnote/>
          <w:docGrid w:linePitch="299"/>
        </w:sectPr>
      </w:pP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Phụ lục A</w:t>
      </w:r>
    </w:p>
    <w:p w:rsidR="0058211C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Phương pháp thử thùng nhiên liệu chứa nhiên liệu lỏng</w:t>
      </w:r>
    </w:p>
    <w:p w:rsidR="00163779" w:rsidRPr="00163779" w:rsidRDefault="00163779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Thử khả năng chống rò rỉ bằng chất lỏng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thử bằng áp suất chất lỏng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bên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đổ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đầy bằng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chất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lỏng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cháy được. Sau khi đóng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đường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 bên ngoài, tăng áp suất từ từ 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qua 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nối cấp nhiên liệu từ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đến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cơ, đến áp suất tương đối bên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bằng 2 lần áp suất làm việc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bất kỳ trường hợp nào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nhỏ hơn áp suất dư 30 kPa (0,3 bar), áp suất này được giữ trong thời gian 1 min.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Thử khả năng chống rò rỉ khi bị lật thùng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A.2.1.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tất cả các 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 của nó phải được lắp trên giá thử tương tự như cách lắp đặt trên xe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đó; điều này cũng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áp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cho các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cân bằng áp suất dư trong thùng.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A.2.2.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Giá thử phải quay quanh một trục nằm song song với trục dọc của xe.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A.2.3.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Phép thử sẽ được thực hiện với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được đổ ở 2 mức 90% và 30%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dung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tích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bằng chất lỏng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cháy có tỷ trọng và độ nhớt gần với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thường được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(có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thể chấp nhận dùng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nước).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A.2.4.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quay 90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º </w:t>
      </w:r>
      <w:r w:rsidRPr="00163779">
        <w:rPr>
          <w:rFonts w:ascii="Arial" w:hAnsi="Arial" w:cs="Arial"/>
          <w:color w:val="000000"/>
          <w:sz w:val="20"/>
          <w:szCs w:val="20"/>
        </w:rPr>
        <w:t>từ vị trí lắp đặt sang bên phải.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giữ ở vị trí này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ít nhất là 5 min. Sau đó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được quay tiếp 90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º </w:t>
      </w:r>
      <w:r w:rsidRPr="00163779">
        <w:rPr>
          <w:rFonts w:ascii="Arial" w:hAnsi="Arial" w:cs="Arial"/>
          <w:color w:val="000000"/>
          <w:sz w:val="20"/>
          <w:szCs w:val="20"/>
        </w:rPr>
        <w:t>theo cùng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chiều.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giữ ở vị trí này, cho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đến khi lật ngược hoàn toàn trong khoảng thời gian ít nhất là 5 min. Sau đó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được quay trở lại vị trí bình thường. Chất lỏng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 nghiệm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mà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chảy ngược từ hệ thống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gió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vào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hút ra và bổ sung lại chất lỏng nếu cần.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phải được quay 90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º </w:t>
      </w:r>
      <w:r w:rsidRPr="00163779">
        <w:rPr>
          <w:rFonts w:ascii="Arial" w:hAnsi="Arial" w:cs="Arial"/>
          <w:color w:val="000000"/>
          <w:sz w:val="20"/>
          <w:szCs w:val="20"/>
        </w:rPr>
        <w:t>theo hướng ngược lại và giữ ở vị trí này ít nhất 5 min.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quay thêm 90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º </w:t>
      </w:r>
      <w:r w:rsidRPr="00163779">
        <w:rPr>
          <w:rFonts w:ascii="Arial" w:hAnsi="Arial" w:cs="Arial"/>
          <w:color w:val="000000"/>
          <w:sz w:val="20"/>
          <w:szCs w:val="20"/>
        </w:rPr>
        <w:t>theo cùng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hướng. Vị trí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lật ngược hoàn toàn này được giữ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ít nhất 5 min.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Sau đó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 được quay ngược lại đến vị trí bình thường.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Tốc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độ quay giá thử đối với mỗi lần quay 90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º </w:t>
      </w:r>
      <w:r w:rsidRPr="00163779">
        <w:rPr>
          <w:rFonts w:ascii="Arial" w:hAnsi="Arial" w:cs="Arial"/>
          <w:color w:val="000000"/>
          <w:sz w:val="20"/>
          <w:szCs w:val="20"/>
        </w:rPr>
        <w:t>tiếp theo diễn ra trong thời gian từ 1 min đến 3 min.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63779" w:rsidRDefault="00163779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  <w:sectPr w:rsidR="00163779" w:rsidSect="00163779">
          <w:pgSz w:w="11907" w:h="16839" w:code="9"/>
          <w:pgMar w:top="1440" w:right="1440" w:bottom="1440" w:left="1440" w:header="0" w:footer="0" w:gutter="0"/>
          <w:cols w:space="720"/>
          <w:noEndnote/>
          <w:docGrid w:linePitch="299"/>
        </w:sectPr>
      </w:pP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Phụ lục B</w:t>
      </w:r>
    </w:p>
    <w:p w:rsidR="0058211C" w:rsidRDefault="0058211C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Phương pháp thử thùng nhiên liệu được làm bằng vật liệu chất dẻo</w:t>
      </w:r>
    </w:p>
    <w:p w:rsidR="00163779" w:rsidRPr="00163779" w:rsidRDefault="00163779" w:rsidP="001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Thử độ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bền va chạm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B.1.1.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 được đổ đầy bằng nước hoặc chất lỏng khác, mà chất lỏng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đó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làm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thay đổi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đặc tính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kỹ thuật của vật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làm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liệu, và sau đó phải thử độ bền va chạm theo mục B.1.2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 này.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B.1.2.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Đồ gá thử va chạm bằng con lắc sẽ được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cho phép thử này. Khối va chạm phải được làm bằng thép và có hình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chóp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 các mặt tam giác đều và đế vuông, đỉnh chóp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các mép được vê tròn với bán kính 3 mm. Trọng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tâm va chạm của con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với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trọng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tâm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con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lắc; khoảng cách từ trọng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tâm đến trục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quay của con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lắc là 1 m. Khối lượng tổng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con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lắc là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15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kg. Năng lượng của con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lắc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ở thời điểm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va chạm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nhỏ hơn 30 Nm và càng gần giá trị này càng tốt.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B.1.3.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phép thử phải được thực hiện trên 03 điểm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dễ bị tác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bởi sự va chạm từ phía trước và phía sau nhất. Các điểm dễ bị tác động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bởi sự va chạm là các điểm tiếp xúc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nhiều nhất hoặc là những điểm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yếu nhất liên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quan đến hình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dạng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 liên quan đến sự lắp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đặt trên xe của thùng.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Các điểm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chọn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để thử nghiệm phải được chỉ ra trong báo cáo thử nghiệm.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B.1.4.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quá trình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thử,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giữ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nguyên vị trí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bằng cách lắp đặt đồ gá ở mặt bên hoặc đối diện với mặt va chạm.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B.1.5.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Theo lựa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chọn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của cơ sở sản xuất, tất cả các phép thử va chạm có thể được thực hiện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trên một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hoặc mỗi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phép thử được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thực hiện trên một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khác nhau.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3779">
        <w:rPr>
          <w:rFonts w:ascii="Arial" w:hAnsi="Arial" w:cs="Arial"/>
          <w:b/>
          <w:color w:val="000000"/>
          <w:sz w:val="20"/>
          <w:szCs w:val="20"/>
        </w:rPr>
        <w:t>B.2.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Thử độ</w:t>
      </w:r>
      <w:r w:rsidR="00C26883" w:rsidRPr="0016377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b/>
          <w:color w:val="000000"/>
          <w:sz w:val="20"/>
          <w:szCs w:val="20"/>
        </w:rPr>
        <w:t>bền cơ học</w:t>
      </w:r>
    </w:p>
    <w:p w:rsidR="0058211C" w:rsidRPr="00163779" w:rsidRDefault="0058211C" w:rsidP="0016377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liệu phải được thử theo các điều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kiện mô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tả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mục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A.1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Phụ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lục A của Quy chuẩn này.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nhiên liệu và tất cả các phụ kiện của nó phải được lắp vào đồ gá thử theo cách phù hợp với kiểu lắp đặt trên xe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đó. Chất lỏng được sử dụng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để thử là nước được đổ đầy vào thùng.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Áp suất tương đối trong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phải bằng 2 lần áp suất làm việc của thùng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và trong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bất kỳ trường hợp nào không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được nhỏ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hơn 30</w:t>
      </w:r>
      <w:r w:rsidR="00C26883" w:rsidRPr="00163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779">
        <w:rPr>
          <w:rFonts w:ascii="Arial" w:hAnsi="Arial" w:cs="Arial"/>
          <w:color w:val="000000"/>
          <w:sz w:val="20"/>
          <w:szCs w:val="20"/>
        </w:rPr>
        <w:t>kPa trong khoảng thời gian là 5 h.</w:t>
      </w:r>
    </w:p>
    <w:p w:rsidR="00C26883" w:rsidRPr="00163779" w:rsidRDefault="00C26883" w:rsidP="00163779">
      <w:pPr>
        <w:spacing w:after="12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sectPr w:rsidR="00C26883" w:rsidRPr="00163779" w:rsidSect="00163779">
      <w:pgSz w:w="11907" w:h="16839" w:code="9"/>
      <w:pgMar w:top="1440" w:right="1440" w:bottom="1440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43"/>
    <w:rsid w:val="00163779"/>
    <w:rsid w:val="0058211C"/>
    <w:rsid w:val="005C65F0"/>
    <w:rsid w:val="007F4B43"/>
    <w:rsid w:val="00983DA6"/>
    <w:rsid w:val="00C26883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B46970-19BD-425B-8E3D-66CF034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- 11. QCVN 52 2024 17.12 16h30</vt:lpstr>
    </vt:vector>
  </TitlesOfParts>
  <Company/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 QCVN 52 2024 17.12 16h30</dc:title>
  <dc:subject/>
  <dc:creator>LVN_2019_hp03</dc:creator>
  <cp:keywords/>
  <dc:description>DocumentCreationInfo</dc:description>
  <cp:lastModifiedBy>LVN_2019_hp03</cp:lastModifiedBy>
  <cp:revision>4</cp:revision>
  <dcterms:created xsi:type="dcterms:W3CDTF">2025-01-14T01:59:00Z</dcterms:created>
  <dcterms:modified xsi:type="dcterms:W3CDTF">2025-01-14T02:07:00Z</dcterms:modified>
</cp:coreProperties>
</file>