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DANH SÁCH NHÀ ĐẦU TƯ GÓP VỐN VÀO </w:t>
        <w:br w:type="textWrapping"/>
        <w:t xml:space="preserve">QUỸ ĐẦU TƯ KHỞI NGHIỆP SÁNG TẠO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________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14286.61417322835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98.4251968503938"/>
        <w:gridCol w:w="798.4251968503938"/>
        <w:gridCol w:w="1152.755905511811"/>
        <w:gridCol w:w="798.4251968503938"/>
        <w:gridCol w:w="911.8110236220474"/>
        <w:gridCol w:w="798.4251968503938"/>
        <w:gridCol w:w="812.5984251968505"/>
        <w:gridCol w:w="1152.755905511811"/>
        <w:gridCol w:w="1875.5905511811025"/>
        <w:gridCol w:w="968.5039370078741"/>
        <w:gridCol w:w="670.8661417322835"/>
        <w:gridCol w:w="1039.3700787401576"/>
        <w:gridCol w:w="798.4251968503938"/>
        <w:gridCol w:w="911.8110236220474"/>
        <w:gridCol w:w="798.4251968503938"/>
        <w:tblGridChange w:id="0">
          <w:tblGrid>
            <w:gridCol w:w="798.4251968503938"/>
            <w:gridCol w:w="798.4251968503938"/>
            <w:gridCol w:w="1152.755905511811"/>
            <w:gridCol w:w="798.4251968503938"/>
            <w:gridCol w:w="911.8110236220474"/>
            <w:gridCol w:w="798.4251968503938"/>
            <w:gridCol w:w="812.5984251968505"/>
            <w:gridCol w:w="1152.755905511811"/>
            <w:gridCol w:w="1875.5905511811025"/>
            <w:gridCol w:w="968.5039370078741"/>
            <w:gridCol w:w="670.8661417322835"/>
            <w:gridCol w:w="1039.3700787401576"/>
            <w:gridCol w:w="798.4251968503938"/>
            <w:gridCol w:w="911.8110236220474"/>
            <w:gridCol w:w="798.4251968503938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STT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Tên nhà đầu tư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Ngày, tháng, năm sinh đối với nhà đầu tư là cá nhân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Giới tính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Quốc tịch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Dân tộc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Chỗ ở hiện tại đối với nhà đầu tư là cá nhân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Nơi đăng ký hộ khẩu thường trú đối với cá nhân; địa chỉ trụ sở chính đối với tổ chức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Số, ngày, cơ quan cấp 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Vốn góp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Thời điểm góp vốn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Chữ ký của nhà đầu tư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Ghi chú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3</w:t>
            </w:r>
          </w:p>
        </w:tc>
      </w:tr>
      <w:tr>
        <w:trPr>
          <w:cantSplit w:val="0"/>
          <w:trHeight w:val="66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Giá trị Phần vốn, góp (bằng số; VNĐ)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Tỷ lệ (%)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Loại tài sản, số lượng, giá trị tài sản góp vốn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Ghi tổng giá trị Phần vốn góp của từng nhà đầu tư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Loại tài sản góp vốn bao gồm: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Tiền Việt Nam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Giá trị quyền sử dụng đất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Tài sản khác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Cơ quan đăng ký kinh doanh cấp tỉnh xem xét ghi các nội dung Ghi chú theo đề nghị của doanh nghiệp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