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54.330708661419" w:type="dxa"/>
        <w:jc w:val="left"/>
        <w:tblLayout w:type="fixed"/>
        <w:tblLook w:val="0600"/>
      </w:tblPr>
      <w:tblGrid>
        <w:gridCol w:w="3534.0243012754404"/>
        <w:gridCol w:w="5820.306407385979"/>
        <w:tblGridChange w:id="0">
          <w:tblGrid>
            <w:gridCol w:w="3534.0243012754404"/>
            <w:gridCol w:w="5820.306407385979"/>
          </w:tblGrid>
        </w:tblGridChange>
      </w:tblGrid>
      <w:tr>
        <w:trPr>
          <w:cantSplit w:val="0"/>
          <w:trHeight w:val="25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TÊN CÔNG TY THỰC HIỆN</w:t>
              <w:br w:type="textWrapping"/>
              <w:t xml:space="preserve">QUẢN LÝ QUỸ ĐẦU TƯ</w:t>
              <w:br w:type="textWrapping"/>
              <w:t xml:space="preserve">KHỞI NGHIỆP SÁNG TẠO</w:t>
              <w:br w:type="textWrapping"/>
            </w:r>
            <w:r w:rsidDel="00000000" w:rsidR="00000000" w:rsidRPr="00000000">
              <w:rPr>
                <w:rFonts w:ascii="Times New Roman" w:cs="Times New Roman" w:eastAsia="Times New Roman" w:hAnsi="Times New Roman"/>
                <w:sz w:val="28"/>
                <w:szCs w:val="28"/>
                <w:vertAlign w:val="superscript"/>
                <w:rtl w:val="0"/>
              </w:rPr>
              <w:t xml:space="preserve">____</w:t>
              <w:br w:type="textWrapping"/>
            </w:r>
            <w:r w:rsidDel="00000000" w:rsidR="00000000" w:rsidRPr="00000000">
              <w:rPr>
                <w:rFonts w:ascii="Times New Roman" w:cs="Times New Roman" w:eastAsia="Times New Roman" w:hAnsi="Times New Roman"/>
                <w:sz w:val="28"/>
                <w:szCs w:val="28"/>
                <w:rtl w:val="0"/>
              </w:rPr>
              <w:t xml:space="preserve">Số: ………….</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w:t>
              <w:br w:type="textWrapping"/>
              <w:br w:type="textWrapping"/>
            </w:r>
            <w:r w:rsidDel="00000000" w:rsidR="00000000" w:rsidRPr="00000000">
              <w:rPr>
                <w:rFonts w:ascii="Times New Roman" w:cs="Times New Roman" w:eastAsia="Times New Roman" w:hAnsi="Times New Roman"/>
                <w:i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THÔNG BÁO</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Về việc chuyển nhượng Phần vốn góp của các nhà đầu tư</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Phòng Đăng ký kinh doanh tỉnh, thành phố……………….</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Tên doanh nghiệp (ghi tên bằng chữ in hoa): .....................................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Mã số doanh nghiệp/Mã số thuế: ......................................................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Giấy chứng nhận đăng ký kinh doanh (chỉ kê khai nếu không có mã số doanh nghiệp/mã số thuế): là công ty thực hiện quản lý quỹ đầu tư khởi nghiệp sáng tạo (ghi tên bằng chữ in hoa): ……………….. thành lập theo Thông báo số ………….. ngày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Thông báo về việc chuyển nhượng Phần vốn góp của các nhà đầu tư như sau:</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Bên chuyển nhượng: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(Kê khai các thông tin về nhà đầu tư chuyển nhượng Phần vốn góp)</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 vốn chuyển nhượng: (bằng số; VNĐ và giá trị tương đương theo đơn vị tiền nước ngoài, nếu có): …… tương ứng....% tổng số vốn góp của quỹ.</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 vốn còn lại tại quỹ sau khi chuyển nhượng: (bằng số; VNĐ và giá trị tương đương theo đơn vị tiền nước ngoài, nếu có): ....tương ứng....% tổng số vốn góp của quỹ.</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Bên nhận chuyển nhượng:</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(Kê khai các thông tin về nhà đầu tư nhận chuyển nhượng Phần vốn góp)</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 vốn tại quỹ sau khi chuyển nhượng: (bằng số; VNĐ và giá trị tương đương theo đơn vị tiền nước ngoài, nếu có): ....tương ứng....% tổng số vốn góp của quỹ.</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 Thời điểm chuyển nhượng: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 Danh sách các nhà đầu tư của quỹ sau khi chuyển nhượng:</w:t>
      </w:r>
      <w:r w:rsidDel="00000000" w:rsidR="00000000" w:rsidRPr="00000000">
        <w:rPr>
          <w:rFonts w:ascii="Times New Roman" w:cs="Times New Roman" w:eastAsia="Times New Roman" w:hAnsi="Times New Roman"/>
          <w:sz w:val="28"/>
          <w:szCs w:val="28"/>
          <w:rtl w:val="0"/>
        </w:rPr>
        <w:t xml:space="preserve"> kèm theo</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nhà đầu tư có giá trị vốn góp không thay đổi, trong danh sách nhà đầu tư không bắt buộc phải có chữ ký của nhà đầu tư đó).</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Công ty ………………….. (tên công ty thực hiện quản lý quỹ) cam kết chịu trách nhiệm hoàn toàn trước pháp luật về tính hợp pháp, chính xác, trung thực của nội dung Thông báo này và các tài liệu kèm theo./.</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7.165354330709"/>
        <w:gridCol w:w="4677.165354330709"/>
        <w:tblGridChange w:id="0">
          <w:tblGrid>
            <w:gridCol w:w="4677.165354330709"/>
            <w:gridCol w:w="4677.165354330709"/>
          </w:tblGrid>
        </w:tblGridChange>
      </w:tblGrid>
      <w:tr>
        <w:trPr>
          <w:cantSplit w:val="0"/>
          <w:trHeight w:val="25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giấy tờ gửi kèm:</w:t>
              <w:br w:type="textWrapping"/>
              <w:t xml:space="preserve">- Bản sao hợp đồng chuyển nhượng;</w:t>
              <w:br w:type="textWrapping"/>
              <w:t xml:space="preserve">- Danh sách nhà đầu tư của quỹ sau khi thay đổi theo Mẫu số 01b Phụ lục;</w:t>
              <w:br w:type="textWrapping"/>
              <w:t xml:space="preserve">- …………………</w:t>
            </w:r>
          </w:p>
        </w:tc>
        <w:tc>
          <w:tcPr>
            <w:tcMar>
              <w:top w:w="100.0" w:type="dxa"/>
              <w:left w:w="100.0" w:type="dxa"/>
              <w:bottom w:w="100.0" w:type="dxa"/>
              <w:right w:w="10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ĐẠI DIỆN THEO PHÁP LUẬT </w:t>
              <w:br w:type="textWrapping"/>
              <w:t xml:space="preserve">CỦA DOANH NGHIỆP</w:t>
              <w:br w:type="textWrapping"/>
            </w:r>
            <w:r w:rsidDel="00000000" w:rsidR="00000000" w:rsidRPr="00000000">
              <w:rPr>
                <w:rFonts w:ascii="Times New Roman" w:cs="Times New Roman" w:eastAsia="Times New Roman" w:hAnsi="Times New Roman"/>
                <w:i w:val="1"/>
                <w:sz w:val="28"/>
                <w:szCs w:val="28"/>
                <w:rtl w:val="0"/>
              </w:rPr>
              <w:t xml:space="preserve">(Ký, và ghi họ tên)</w:t>
            </w:r>
          </w:p>
        </w:tc>
      </w:tr>
    </w:tbl>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before="180" w:line="384.00000000000006"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