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tbl>
      <w:tblPr>
        <w:tblStyle w:val="Table1"/>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28.188976377953"/>
        <w:gridCol w:w="1128.188976377953"/>
        <w:gridCol w:w="1128.188976377953"/>
        <w:gridCol w:w="1128.188976377953"/>
        <w:gridCol w:w="1128.188976377953"/>
        <w:gridCol w:w="1128.188976377953"/>
        <w:gridCol w:w="1128.188976377953"/>
        <w:gridCol w:w="1128.188976377953"/>
        <w:tblGridChange w:id="0">
          <w:tblGrid>
            <w:gridCol w:w="1128.188976377953"/>
            <w:gridCol w:w="1128.188976377953"/>
            <w:gridCol w:w="1128.188976377953"/>
            <w:gridCol w:w="1128.188976377953"/>
            <w:gridCol w:w="1128.188976377953"/>
            <w:gridCol w:w="1128.188976377953"/>
            <w:gridCol w:w="1128.188976377953"/>
            <w:gridCol w:w="1128.188976377953"/>
          </w:tblGrid>
        </w:tblGridChange>
      </w:tblGrid>
      <w:tr>
        <w:trPr>
          <w:cantSplit w:val="0"/>
          <w:trHeight w:val="465" w:hRule="atLeast"/>
          <w:tblHeader w:val="0"/>
        </w:trPr>
        <w:tc>
          <w:tcPr>
            <w:vMerge w:val="restart"/>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Thứ tự</w:t>
            </w:r>
          </w:p>
        </w:tc>
        <w:tc>
          <w:tcPr>
            <w:vMerge w:val="restart"/>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Mã tiêu chuẩn</w:t>
            </w:r>
          </w:p>
        </w:tc>
        <w:tc>
          <w:tcPr>
            <w:vMerge w:val="restart"/>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Tiêu chí, tiêu chuẩn</w:t>
            </w:r>
          </w:p>
        </w:tc>
        <w:tc>
          <w:tcPr>
            <w:vMerge w:val="restart"/>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Đơn vị tính</w:t>
            </w:r>
          </w:p>
        </w:tc>
        <w:tc>
          <w:tcPr>
            <w:gridSpan w:val="3"/>
            <w:tcBorders>
              <w:top w:color="000000" w:space="0" w:sz="8" w:val="single"/>
              <w:left w:color="000000" w:space="0" w:sz="8" w:val="single"/>
            </w:tcBorders>
            <w:tcMar>
              <w:top w:w="40.0" w:type="dxa"/>
              <w:left w:w="40.0" w:type="dxa"/>
              <w:bottom w:w="40.0" w:type="dxa"/>
              <w:right w:w="4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Mức quy định theo loại đô thị</w:t>
            </w:r>
          </w:p>
        </w:tc>
        <w:tc>
          <w:tcPr>
            <w:vMerge w:val="restart"/>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w:t>
            </w:r>
          </w:p>
        </w:tc>
      </w:tr>
      <w:tr>
        <w:trPr>
          <w:cantSplit w:val="0"/>
          <w:trHeight w:val="465"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Loại II</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Loại III</w:t>
            </w:r>
          </w:p>
        </w:tc>
        <w:tc>
          <w:tcPr>
            <w:vMerge w:val="continue"/>
            <w:tcBorders>
              <w:top w:color="000000" w:space="0" w:sz="8" w:val="single"/>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360" w:lineRule="auto"/>
              <w:rPr>
                <w:rFonts w:ascii="Times New Roman" w:cs="Times New Roman" w:eastAsia="Times New Roman" w:hAnsi="Times New Roman"/>
                <w:color w:val="222222"/>
                <w:sz w:val="24"/>
                <w:szCs w:val="24"/>
              </w:rPr>
            </w:pPr>
            <w:r w:rsidDel="00000000" w:rsidR="00000000" w:rsidRPr="00000000">
              <w:rPr>
                <w:rtl w:val="0"/>
              </w:rPr>
            </w:r>
          </w:p>
        </w:tc>
      </w:tr>
      <w:tr>
        <w:trPr>
          <w:cantSplit w:val="0"/>
          <w:trHeight w:val="26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TIÊU CHÍ VAI TRÒ, VỊ TRÍ VÀ ĐIỀU KIỆN PHÁT TRIỂN KINH TẾ - XÃ HỘI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11,5-15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2B.I.01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tăng dân số</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1,8</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1,4</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r>
          </w:p>
        </w:tc>
      </w:tr>
      <w:tr>
        <w:trPr>
          <w:cantSplit w:val="0"/>
          <w:trHeight w:val="465"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1,4</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2B.I.02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Thu nhập bình quân đầu người trên năm so với thu nhập bình quân của tỉnh, thành phố</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Lần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1,5</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1,2</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w:t>
            </w:r>
          </w:p>
        </w:tc>
      </w:tr>
      <w:tr>
        <w:trPr>
          <w:cantSplit w:val="0"/>
          <w:trHeight w:val="252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1,2</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2B.I.03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hộ nghèo (theo chuẩn nghèo đa chiều)</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 2,5</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 4</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r>
          </w:p>
        </w:tc>
      </w:tr>
      <w:tr>
        <w:trPr>
          <w:cantSplit w:val="0"/>
          <w:trHeight w:val="108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47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mức tăng thu 1% trở lên từ ngân sách địa phương (không bao gồm nguồn thu từ đất, trừ trường hợp phát triển theo mô hình TOD)</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90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công trình cấp quốc gia, cấp tỉnh trên địa bàn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90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lao động trình độ cao đạt từ 50% trở lên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69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tiêu chí, vai trò, vị trí và điều kiện phát triển kinh tế - xã hội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TIÊU CHÍ MỨC ĐỘ ĐÔ THỊ HÓA</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15,5-20</w:t>
            </w:r>
          </w:p>
        </w:tc>
      </w:tr>
      <w:tr>
        <w:trPr>
          <w:cantSplit w:val="0"/>
          <w:trHeight w:val="465" w:hRule="atLeast"/>
          <w:tblHeader w:val="0"/>
        </w:trPr>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2B.II.04</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Mật độ dân số tính trên diện tích đất xây dựng đô thị</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40"/>
                <w:szCs w:val="40"/>
                <w:vertAlign w:val="superscript"/>
              </w:rPr>
            </w:pPr>
            <w:r w:rsidDel="00000000" w:rsidR="00000000" w:rsidRPr="00000000">
              <w:rPr>
                <w:rFonts w:ascii="Times New Roman" w:cs="Times New Roman" w:eastAsia="Times New Roman" w:hAnsi="Times New Roman"/>
                <w:color w:val="222222"/>
                <w:sz w:val="24"/>
                <w:szCs w:val="24"/>
                <w:rtl w:val="0"/>
              </w:rPr>
              <w:t xml:space="preserve">người/km </w:t>
            </w:r>
            <w:r w:rsidDel="00000000" w:rsidR="00000000" w:rsidRPr="00000000">
              <w:rPr>
                <w:rFonts w:ascii="Times New Roman" w:cs="Times New Roman" w:eastAsia="Times New Roman" w:hAnsi="Times New Roman"/>
                <w:color w:val="222222"/>
                <w:sz w:val="40"/>
                <w:szCs w:val="40"/>
                <w:vertAlign w:val="superscript"/>
                <w:rtl w:val="0"/>
              </w:rPr>
              <w:t xml:space="preserve">2</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8.000</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6.000</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w:t>
            </w:r>
          </w:p>
        </w:tc>
      </w:tr>
      <w:tr>
        <w:trPr>
          <w:cantSplit w:val="0"/>
          <w:trHeight w:val="1440" w:hRule="atLeast"/>
          <w:tblHeader w:val="0"/>
        </w:trPr>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6.000</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4.000</w:t>
            </w:r>
          </w:p>
        </w:tc>
        <w:tc>
          <w:tcPr>
            <w:vMerge w:val="restart"/>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w:t>
            </w:r>
          </w:p>
        </w:tc>
      </w:tr>
      <w:tr>
        <w:trPr>
          <w:cantSplit w:val="0"/>
          <w:trHeight w:val="46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&gt; 25.000</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360" w:lineRule="auto"/>
              <w:rPr>
                <w:rFonts w:ascii="Times New Roman" w:cs="Times New Roman" w:eastAsia="Times New Roman" w:hAnsi="Times New Roman"/>
                <w:color w:val="222222"/>
                <w:sz w:val="24"/>
                <w:szCs w:val="24"/>
              </w:rPr>
            </w:pPr>
            <w:r w:rsidDel="00000000" w:rsidR="00000000" w:rsidRPr="00000000">
              <w:rPr>
                <w:rtl w:val="0"/>
              </w:rPr>
            </w:r>
          </w:p>
        </w:tc>
      </w:tr>
      <w:tr>
        <w:trPr>
          <w:cantSplit w:val="0"/>
          <w:trHeight w:val="465" w:hRule="atLeast"/>
          <w:tblHeader w:val="0"/>
        </w:trPr>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2B.II.05</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diện tích đất xây dựng đô thị hiện trạng so với diện tích đất xây dựng đô thị theo quy hoạch đô thị</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75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w:t>
            </w:r>
          </w:p>
        </w:tc>
      </w:tr>
      <w:tr>
        <w:trPr>
          <w:cantSplit w:val="0"/>
          <w:trHeight w:val="2880" w:hRule="atLeast"/>
          <w:tblHeader w:val="0"/>
        </w:trPr>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2B.II.06</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Tăng tỷ trọng công nghiệp - xây dựng và dịch vụ</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vượt so với mục tiêu đề ra từ 4% trở lên</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r>
          </w:p>
        </w:tc>
      </w:tr>
      <w:tr>
        <w:trPr>
          <w:cantSplit w:val="0"/>
          <w:trHeight w:val="144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Đạt mục tiêu đề ra</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33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TIÊU CHÍ TRÌNH ĐỘ PHÁT TRIỂN HẠ TẦNG VÀ TỔ CHỨC KHÔNG GIAN ĐÔ THỊ</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48-65</w:t>
            </w:r>
          </w:p>
        </w:tc>
      </w:tr>
      <w:tr>
        <w:trPr>
          <w:cantSplit w:val="0"/>
          <w:trHeight w:val="8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III.1</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Về hạ tầng kỹ thuật</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18,5-25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3.1.1</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giao thông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6,5-9</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2B.III.07</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diện tích đất giao thông đô thị so với đất xây dựng đô thị</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22</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17</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180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12</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2B.III.08</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Diện tích đất giao thông đô thị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/người</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13</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9</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144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11</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2B.III.09</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ngầm hóa đường dây, đường cáp trên tuyến phố chính</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70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50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180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hệ thống giao thông ngầm</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40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kế hoạch và triển khai chuyển đổi phương tiện giao thông công cộng sử dụng nhiên liệu giảm phát thải khí nhà kính</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tuyến đường dành riêng cho xe đạp</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905" w:hRule="atLeast"/>
          <w:tblHeader w:val="0"/>
        </w:trPr>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 tuyến đường chính có giao thông công cộng</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622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nhóm tiêu chuẩn về giao thông</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3.1.2</w:t>
            </w:r>
          </w:p>
        </w:tc>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cấp nước, thoát nước và xử lý nước thải</w:t>
            </w:r>
          </w:p>
        </w:tc>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4,5-6</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2B.III.10</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Mức tiêu thụ nước sạch qua hệ thống cấp nước tập trung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lít/người/ngày đêm</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252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Thoát nước chống ngập úng đô thị</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75</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50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72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dân số đô thị được cung cấp dịch vụ thu gom và xử lý nước thải sinh hoạt đạt quy chuẩn kỹ thuật</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≥50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35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288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35</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26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giải pháp giảm tác động ngập lụt: xây dựng hồ điều hòa, thành phố bọt biển,...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90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các khu vực công cộng sử dụng nước uống tại vòi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trạm xử lý nước thải trên địa bàn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730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 Trường hợp đạt tiêu chuẩn điểm cộng thì mỗi tiêu chuẩn điểm cộng được cộng 0,5 điểm nhưng phải bảo đảm tổng số điểm không vượt quá điểm tối đa của nhóm các tiêu chuẩn về cấp nước, thoát nước và xử lý nước thải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90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3.1.3</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Thu gom, xử lý chất thải rắn và môi trường đô thị</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3-4</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chất thải rắn sinh hoạt được thu gom</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90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108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2B.III.14</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cá nhân, hộ gia đình đã triển khai phân loại chất thải rắn tại nguồn</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≥75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2160" w:hRule="atLeast"/>
          <w:tblHeader w:val="0"/>
        </w:trPr>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465" w:hRule="atLeast"/>
          <w:tblHeader w:val="0"/>
        </w:trPr>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2B.III.15</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sử dụng hình thức hỏa táng</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30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1080" w:hRule="atLeast"/>
          <w:tblHeader w:val="0"/>
        </w:trPr>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kế hoạch hình thành vùng phát thải thấp</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26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số ngày trong năm có chất lượng không khí đạt mức tiêu chuẩn ≥95 %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730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nhóm tiêu chuẩn về Thu gom, xử lý chất thải rắn và môi trường đô thị</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3.1.4</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Cấp điện và chiếu sáng công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3-4</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2B.III.16</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Mức tiêu thụ điện sinh hoạt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kwh/người/năm</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1.500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1.000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144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750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400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2B.III.17</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đường cấp khu vực, cấp nội bộ được chiếu sáng</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95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144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2B.III.18</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tuyến đường có ứng dụng chiếu sáng sử dụng năng lượng tái tạo, tiết kiệm năng lượng, chiếu sáng thông minh</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50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360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8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3.1.5</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Hạ tầng viễn thông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1,5-2</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2B.III.19</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hộ gia đình có cáp quang truy cập internet qua mạng băng rộng cố định</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216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47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Cung cấp điểm truy cập WiFi miễn phí ở các điểm công cộng (khu vực trung tâm, nơi sinh hoạt cộng đồng, điểm du lịch cộng đồng...)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dân số được phủ sóng 5G đạt 80% trở lên</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6225" w:hRule="atLeast"/>
          <w:tblHeader w:val="0"/>
        </w:trPr>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nhóm tiêu chuẩn về Hạ tầng viễn thông</w:t>
            </w:r>
          </w:p>
        </w:tc>
        <w:tc>
          <w:tcPr>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8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III.2</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Về hạ tầng xã hội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18,5-25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3.2.1</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Nhà ở</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4,5-6</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2B.III.20</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Diện tích nhà ở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sàn/người</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32</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r>
          </w:p>
        </w:tc>
      </w:tr>
      <w:tr>
        <w:trPr>
          <w:cantSplit w:val="0"/>
          <w:trHeight w:val="108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28</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Nhà ở xã hội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Dự án</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2</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Đang xây dựng</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33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Đang triển khai chương trình cải tạo, chỉnh trang, tái thiết đồng bộ khu dân cư (tối thiểu là 4.000 người)</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51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 Trường hợp đạt tiêu chuẩn điểm cộng thì được cộng 0,5 điểm nhưng phải bảo đảm tổng số điểm không vượt quá điểm tối đa của nhóm tiêu chuẩn về Nhà ở</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8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3.2.2</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Công trình công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14-19</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Đất dân dụng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/người</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 đến 90</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 đến 110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108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 50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2B.III.23</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Đất xây dựng công trình dịch vụ - công cộng cấp đơn vị ở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/người</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&gt; 90</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&gt; 110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w:t>
            </w:r>
          </w:p>
        </w:tc>
      </w:tr>
      <w:tr>
        <w:trPr>
          <w:cantSplit w:val="0"/>
          <w:trHeight w:val="216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D">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4,0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r>
          </w:p>
        </w:tc>
      </w:tr>
      <w:tr>
        <w:trPr>
          <w:cantSplit w:val="0"/>
          <w:trHeight w:val="1545" w:hRule="atLeast"/>
          <w:tblHeader w:val="0"/>
        </w:trPr>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2B.III.24</w:t>
            </w:r>
          </w:p>
        </w:tc>
        <w:tc>
          <w:tcPr>
            <w:vMerge w:val="restart"/>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Số trường công lập đạt chuẩn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80% số trường mầm non, tiểu học, trung học cơ sở công lập đạt chuẩn quốc gia mức độ 1 trở lên, trong đó ít nhất có 20% đạt mức độ 2</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1185" w:hRule="atLeast"/>
          <w:tblHeader w:val="0"/>
        </w:trPr>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C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C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C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3"/>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60% số trường mầm non, tiểu học, trung học cơ sở công lập đạt chuẩn quốc gia mức độ 1 trở lên</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2,5</w:t>
            </w:r>
          </w:p>
        </w:tc>
      </w:tr>
      <w:tr>
        <w:trPr>
          <w:cantSplit w:val="0"/>
          <w:trHeight w:val="825" w:hRule="atLeast"/>
          <w:tblHeader w:val="0"/>
        </w:trPr>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2B.III.25</w:t>
            </w:r>
          </w:p>
        </w:tc>
        <w:tc>
          <w:tcPr>
            <w:gridSpan w:val="2"/>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Trường tiểu học công lập trên quy mô dân số</w:t>
            </w:r>
          </w:p>
        </w:tc>
        <w:tc>
          <w:tcPr>
            <w:vMerge w:val="restart"/>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Trường</w:t>
            </w:r>
          </w:p>
        </w:tc>
        <w:tc>
          <w:tcPr>
            <w:gridSpan w:val="2"/>
            <w:tcBorders>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Đáp ứng 01 trường/6.000 người</w:t>
            </w:r>
          </w:p>
        </w:tc>
        <w:tc>
          <w:tcPr>
            <w:tcBorders>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825" w:hRule="atLeast"/>
          <w:tblHeader w:val="0"/>
        </w:trPr>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E">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Đáp ứng 01 trường/8.000 người</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2B.III.26</w:t>
            </w:r>
          </w:p>
        </w:tc>
        <w:tc>
          <w:tcPr>
            <w:gridSpan w:val="2"/>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Đất công trình giáo dục cấp đơn vị ở (trường mầm non, tiểu học, trung học cơ sở) bình quân tính trên quy mô dân số</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/người</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2,0</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144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E">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1,8</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2B.III.27</w:t>
            </w:r>
          </w:p>
        </w:tc>
        <w:tc>
          <w:tcPr>
            <w:gridSpan w:val="2"/>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Đất công trình văn hóa, thể dục, thể thao (sân chơi, sân luyện tập và các công trình văn hóa thể thao) cấp đơn vị ở bình quân tính trên quy mô dân số</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/người</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1,5</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r>
      <w:tr>
        <w:trPr>
          <w:cantSplit w:val="0"/>
          <w:trHeight w:val="216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 trường Trung học phổ thông công lập đạt chuẩn quốc gia mức độ 1 trở lên</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cơ sở nghiên cứu khoa học, công nghệ, đổi mới sáng tạo.</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29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nhóm tiêu chuẩn về Công trình công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82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III.3</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Về không gian, kiến trúc, cảnh quan đô thị</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11-15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3.3.1</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Không gian đô thị</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3-4</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2B.III.28</w:t>
            </w:r>
          </w:p>
        </w:tc>
        <w:tc>
          <w:tcPr>
            <w:gridSpan w:val="2"/>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Đất cây xanh sử dụng công cộng bình quân đầu người</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/người</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3</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72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E">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2B.III.29</w:t>
            </w:r>
          </w:p>
        </w:tc>
        <w:tc>
          <w:tcPr>
            <w:gridSpan w:val="2"/>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Số lượng không gian xanh công cộng có quy mô từ 2.000 m </w:t>
            </w:r>
            <w:r w:rsidDel="00000000" w:rsidR="00000000" w:rsidRPr="00000000">
              <w:rPr>
                <w:rFonts w:ascii="Times New Roman" w:cs="Times New Roman" w:eastAsia="Times New Roman" w:hAnsi="Times New Roman"/>
                <w:color w:val="222222"/>
                <w:sz w:val="40"/>
                <w:szCs w:val="40"/>
                <w:vertAlign w:val="superscript"/>
                <w:rtl w:val="0"/>
              </w:rPr>
              <w:t xml:space="preserve">2</w:t>
            </w:r>
            <w:r w:rsidDel="00000000" w:rsidR="00000000" w:rsidRPr="00000000">
              <w:rPr>
                <w:rFonts w:ascii="Times New Roman" w:cs="Times New Roman" w:eastAsia="Times New Roman" w:hAnsi="Times New Roman"/>
                <w:color w:val="222222"/>
                <w:sz w:val="24"/>
                <w:szCs w:val="24"/>
                <w:rtl w:val="0"/>
              </w:rPr>
              <w:t xml:space="preserve">  trở lên</w:t>
            </w:r>
          </w:p>
        </w:tc>
        <w:tc>
          <w:tcPr>
            <w:vMerge w:val="restart"/>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Số khu</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10</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5</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810" w:hRule="atLeast"/>
          <w:tblHeader w:val="0"/>
        </w:trPr>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A">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C">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E">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Không gian xanh công cộng được xây dựng trên cao</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Nhà vệ sinh công cộng đạt tiêu chuẩn tại các khu vực, không gian công cộng</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298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nhóm tiêu chuẩn về không gian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82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3.3.2</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Kiến trúc, cảnh quan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3-4</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2B.III.30</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tuyến phố văn minh đô thị</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60</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40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465"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6">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40</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2B.III.31</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Số lượng công trình kiến trúc có giá trị, công trình di sản được bảo vệ, gìn giữ</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Công trình</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6</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3</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720"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6">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2B.III.32</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Công trình xanh</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Công trình</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4</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2</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465"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6">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46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Phường được công nhận là phường đạt chuẩn văn minh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tuyến phố chính được lập và quản lý theo thiết kế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công trình kiến trúc, dự án khu nhà ở, khu đô thị đạt giải thưởng quốc gia, quốc tế</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262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di tích cấp quốc gia đặc biệt, di sản văn hóa vật thể, các khu vực có giá trị văn hóa lịch sử, sản xuất nông nghiệp, làng nghề truyền thống có phương án bảo vệ</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18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dự án tái sử dụng công trình có giá trị, kiến trúc công nghiệp</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334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Trường hợp đạt tiêu chuẩn điểm cộng thì mỗi tiêu chuẩn điểm cộng được cộng 0,5 điểm nhưng phải bảo đảm tổng số điểm không vượt quá điểm tối đa của nhóm tiêu chuẩn về kiến trúc, cảnh quan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3.3.3</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Quản trị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i w:val="1"/>
                <w:iCs w:val="1"/>
                <w:color w:val="222222"/>
                <w:sz w:val="24"/>
                <w:szCs w:val="24"/>
                <w:rtl w:val="0"/>
              </w:rPr>
              <w:t xml:space="preserve">5-7</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2B.III.33</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Kế hoạch phát triển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Đã thực hiện ≥ 03 năm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465"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kế hoạch</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0,5</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2B.III.34</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hồ sơ thủ tục hành chính được xử lý qua dịch vụ công trực tuyến toàn trình</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80</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60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1080"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6">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2B.III.35</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Tỷ lệ tuyến phố chính được cải tạo, chỉnh trang so với kế hoạch</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720"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6">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82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2B.III.36</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Quản lý phát triển đô thị thông minh</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Đã triển khai ≥01 dịch vụ tiện ích đô thị thông minh</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r>
          </w:p>
        </w:tc>
      </w:tr>
      <w:tr>
        <w:trPr>
          <w:cantSplit w:val="0"/>
          <w:trHeight w:val="1185"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Có đề án hoặc kế hoạch phát triển đô thị thông minh</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0,75</w:t>
            </w:r>
          </w:p>
        </w:tc>
      </w:tr>
      <w:tr>
        <w:trPr>
          <w:cantSplit w:val="0"/>
          <w:trHeight w:val="465" w:hRule="atLeast"/>
          <w:tblHeader w:val="0"/>
        </w:trPr>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2B.III.37</w:t>
            </w:r>
          </w:p>
        </w:tc>
        <w:tc>
          <w:tcPr>
            <w:gridSpan w:val="2"/>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Mức độ hài lòng về sử dụng dịch vụ hành chính công của người dân đô thị</w:t>
            </w:r>
          </w:p>
        </w:tc>
        <w:tc>
          <w:tcPr>
            <w:vMerge w:val="restart"/>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100</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Gungsuh" w:cs="Gungsuh" w:eastAsia="Gungsuh" w:hAnsi="Gungsuh"/>
                <w:color w:val="222222"/>
                <w:sz w:val="24"/>
                <w:szCs w:val="24"/>
                <w:rtl w:val="0"/>
              </w:rPr>
              <w:t xml:space="preserve">≥ 95</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r>
          </w:p>
        </w:tc>
      </w:tr>
      <w:tr>
        <w:trPr>
          <w:cantSplit w:val="0"/>
          <w:trHeight w:val="720" w:hRule="atLeast"/>
          <w:tblHeader w:val="0"/>
        </w:trPr>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2">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3">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gridSpan w:val="2"/>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4">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vMerge w:val="continue"/>
            <w:tcBorders>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6">
            <w:pPr>
              <w:spacing w:line="360" w:lineRule="auto"/>
              <w:rPr>
                <w:rFonts w:ascii="Times New Roman" w:cs="Times New Roman" w:eastAsia="Times New Roman" w:hAnsi="Times New Roman"/>
                <w:color w:val="222222"/>
                <w:sz w:val="24"/>
                <w:szCs w:val="24"/>
              </w:rPr>
            </w:pPr>
            <w:r w:rsidDel="00000000" w:rsidR="00000000" w:rsidRPr="00000000">
              <w:rPr>
                <w:rtl w:val="0"/>
              </w:rPr>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95</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90</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r>
          </w:p>
        </w:tc>
      </w:tr>
      <w:tr>
        <w:trPr>
          <w:cantSplit w:val="0"/>
          <w:trHeight w:val="46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Điểm cộng</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90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Số vụ tai nạn giao thông gây hậu quả nghiêm trọng trung bình ≤ 01 vụ trên năm trong 03 năm gần nhất</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154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Số vụ cháy nổ nghiêm trọng xảy ra trung bình ≤ 01 vụ/năm trong 03 năm gần nhất</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r>
        <w:trPr>
          <w:cantSplit w:val="0"/>
          <w:trHeight w:val="2985" w:hRule="atLeast"/>
          <w:tblHeader w:val="0"/>
        </w:trPr>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gridSpan w:val="2"/>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 Trường hợp đạt tiêu chuẩn điểm cộng thì mỗi tiêu chuẩn điểm cộng được cộng 0,5 điểm nhưng phải bảo đảm tổng số điểm không vượt quá điểm tối đa của nhóm tiêu chuẩn về quản trị đô thị</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tc>
      </w:tr>
    </w:tbl>
    <w:p w:rsidR="00000000" w:rsidDel="00000000" w:rsidP="00000000" w:rsidRDefault="00000000" w:rsidRPr="00000000" w14:paraId="0000045A">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