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Điều 4. Thực hiện thủ tục hành chính trên môi trường điện tử</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1. Tổ chức, cá nhân có quyền lựa chọn thực hiện các thủ tục hành chính theo quy định của Nghị định này trên môi trường điện tử bao gồm:</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a) Người đề nghị cấp, thu hồi, cấp lại chứng chỉ hành nghề Quản tài viên quy định tại Điều 7, điểm a khoản 1 Điều 8, Điều 9 của Nghị định này;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b) Quản tài viên đăng ký hành nghề với tư cách cá nhân, đăng ký thay đổi thông tin đăng ký hành nghề quy định tại Điều 13, khoản 1 Điều 17 của Nghị định này;</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c) Doanh nghiệp quản lý, thanh lý tài sản đăng ký hành nghề, đăng ký thay đổi thông tin đăng ký hành nghề quy định tại Điều 14, khoản 2 Điều 17 của Nghị định này.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2. Tổ chức, cá nhân chuẩn bị hồ sơ điện tử, kê khai mẫu đơn, tờ khai điện tử theo yêu cầu của hệ thống cung cấp dịch vụ công trực tuyến như sau:</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a) Khai mẫu đơn, tờ khai trên các biểu mẫu điện tử được cung cấp sẵn; ký chữ ký số vào mẫu đơn, tờ khai, giấy tờ, tài liệu điện tử nếu có yêu cầu;</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b) Đăng tải các giấy tờ, tài liệu điện tử hợp lệ hoặc dẫn nguồn tài liệu từ Kho quản lý dữ liệu điện tử của tổ chức, cá nhân.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3. Tổ chức, cá nhân thực hiện thủ tục hành chính trực tuyến trên cổng Dịch vụ công quốc gia hoặc ứng dụng định danh quốc gia.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20" w:before="120" w:line="36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4. Cơ quan thực hiện thủ tục hành chính khai thác thông tin, dữ liệu trong Cơ sở dữ liệu quốc gia, Cơ sở dữ liệu chuyên ngành và hệ thống thông tin theo quy định pháp luật để giải quyết thủ tục hành chính trên môi trường điện tử, không yêu cầu cá nhân, tổ chức cung cấp, xuất trình những giấy tờ, tài liệu đã có trong các cơ sở dữ liệu và hệ thống thông tin này, trừ trường hợp không khai thác được thông tin hoặc thông tin khai thác không đầy đủ, không chính xác.</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