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1E0" w:firstRow="1" w:lastRow="1" w:firstColumn="1" w:lastColumn="1" w:noHBand="0" w:noVBand="0"/>
      </w:tblPr>
      <w:tblGrid>
        <w:gridCol w:w="1820"/>
        <w:gridCol w:w="7540"/>
      </w:tblGrid>
      <w:tr w:rsidR="00497DFF" w:rsidTr="00D06AAA">
        <w:tc>
          <w:tcPr>
            <w:tcW w:w="972" w:type="pct"/>
            <w:shd w:val="clear" w:color="auto" w:fill="auto"/>
          </w:tcPr>
          <w:p w:rsidR="00497DFF" w:rsidRPr="006D7FD9" w:rsidRDefault="00497DFF" w:rsidP="00D06AAA">
            <w:pPr>
              <w:spacing w:before="120"/>
              <w:jc w:val="center"/>
              <w:rPr>
                <w:rFonts w:ascii="Arial" w:eastAsia="Times New Roman" w:hAnsi="Arial" w:cs="Arial"/>
                <w:sz w:val="20"/>
              </w:rPr>
            </w:pPr>
            <w:r w:rsidRPr="006D7FD9">
              <w:rPr>
                <w:rFonts w:ascii="Arial" w:eastAsia="Times New Roman" w:hAnsi="Arial" w:cs="Arial"/>
                <w:sz w:val="20"/>
              </w:rPr>
              <w:t xml:space="preserve">BỘ TÀI CHÍNH </w:t>
            </w:r>
            <w:r w:rsidRPr="006D7FD9">
              <w:rPr>
                <w:rFonts w:ascii="Arial" w:eastAsia="Times New Roman" w:hAnsi="Arial" w:cs="Arial"/>
                <w:sz w:val="20"/>
              </w:rPr>
              <w:br/>
            </w:r>
            <w:r w:rsidRPr="006D7FD9">
              <w:rPr>
                <w:rFonts w:ascii="Arial" w:eastAsia="Times New Roman" w:hAnsi="Arial" w:cs="Arial"/>
                <w:b/>
                <w:sz w:val="20"/>
                <w:u w:val="single"/>
              </w:rPr>
              <w:t>CỤC THUẾ</w:t>
            </w:r>
          </w:p>
        </w:tc>
        <w:tc>
          <w:tcPr>
            <w:tcW w:w="4028" w:type="pct"/>
            <w:shd w:val="clear" w:color="auto" w:fill="auto"/>
          </w:tcPr>
          <w:p w:rsidR="00497DFF" w:rsidRPr="006D7FD9" w:rsidRDefault="00497DFF" w:rsidP="00D06AAA">
            <w:pPr>
              <w:spacing w:before="120"/>
              <w:jc w:val="right"/>
              <w:rPr>
                <w:rFonts w:ascii="Arial" w:eastAsia="Times New Roman" w:hAnsi="Arial" w:cs="Arial"/>
                <w:b/>
                <w:sz w:val="20"/>
              </w:rPr>
            </w:pPr>
            <w:bookmarkStart w:id="0" w:name="chuong_pl_1"/>
            <w:r w:rsidRPr="006D7FD9">
              <w:rPr>
                <w:rFonts w:ascii="Arial" w:eastAsia="Times New Roman" w:hAnsi="Arial" w:cs="Arial"/>
                <w:b/>
                <w:sz w:val="20"/>
              </w:rPr>
              <w:t>Mẫu số 01</w:t>
            </w:r>
            <w:bookmarkEnd w:id="0"/>
          </w:p>
        </w:tc>
      </w:tr>
    </w:tbl>
    <w:p w:rsidR="00497DFF" w:rsidRPr="006D7FD9" w:rsidRDefault="00497DFF" w:rsidP="00497DFF">
      <w:pPr>
        <w:spacing w:before="120"/>
        <w:jc w:val="center"/>
        <w:rPr>
          <w:rFonts w:ascii="Arial" w:hAnsi="Arial" w:cs="Arial"/>
          <w:b/>
          <w:sz w:val="20"/>
        </w:rPr>
      </w:pPr>
      <w:bookmarkStart w:id="1" w:name="chuong_pl_1_name"/>
      <w:r w:rsidRPr="006D7FD9">
        <w:rPr>
          <w:rFonts w:ascii="Arial" w:hAnsi="Arial" w:cs="Arial"/>
          <w:b/>
          <w:sz w:val="20"/>
        </w:rPr>
        <w:t>PHIẾU KHẢO SÁT</w:t>
      </w:r>
      <w:bookmarkEnd w:id="1"/>
    </w:p>
    <w:p w:rsidR="00497DFF" w:rsidRPr="006D7FD9" w:rsidRDefault="00497DFF" w:rsidP="00497DFF">
      <w:pPr>
        <w:spacing w:before="120"/>
        <w:jc w:val="center"/>
        <w:rPr>
          <w:rFonts w:ascii="Arial" w:hAnsi="Arial" w:cs="Arial"/>
          <w:i/>
          <w:sz w:val="20"/>
        </w:rPr>
      </w:pPr>
      <w:bookmarkStart w:id="2" w:name="chuong_pl_1_name_name"/>
      <w:r w:rsidRPr="006D7FD9">
        <w:rPr>
          <w:rFonts w:ascii="Arial" w:hAnsi="Arial" w:cs="Arial"/>
          <w:b/>
          <w:sz w:val="20"/>
        </w:rPr>
        <w:t>Sự hài lòng của người nộp thuế đối với sự phục vụ của cơ quan thuế</w:t>
      </w:r>
      <w:bookmarkEnd w:id="2"/>
      <w:r w:rsidRPr="006D7FD9">
        <w:rPr>
          <w:rFonts w:ascii="Arial" w:hAnsi="Arial" w:cs="Arial"/>
          <w:b/>
          <w:sz w:val="20"/>
        </w:rPr>
        <w:br/>
      </w:r>
      <w:r w:rsidRPr="006D7FD9">
        <w:rPr>
          <w:rFonts w:ascii="Arial" w:hAnsi="Arial" w:cs="Arial"/>
          <w:i/>
          <w:sz w:val="20"/>
        </w:rPr>
        <w:t>(Kèm theo Quyết định số 1345/QĐ-CT ngày 20/6/2025 của Cục Thuế)</w:t>
      </w:r>
      <w:r w:rsidRPr="006D7FD9">
        <w:rPr>
          <w:rFonts w:ascii="Arial" w:hAnsi="Arial" w:cs="Arial"/>
          <w:i/>
          <w:sz w:val="20"/>
        </w:rPr>
        <w:br/>
        <w:t>_____________________</w:t>
      </w:r>
    </w:p>
    <w:p w:rsidR="00497DFF" w:rsidRPr="006D7FD9" w:rsidRDefault="00497DFF" w:rsidP="00497DFF">
      <w:pPr>
        <w:spacing w:before="120"/>
        <w:rPr>
          <w:rFonts w:ascii="Arial" w:hAnsi="Arial" w:cs="Arial"/>
          <w:i/>
          <w:sz w:val="20"/>
        </w:rPr>
      </w:pPr>
      <w:r w:rsidRPr="006D7FD9">
        <w:rPr>
          <w:rFonts w:ascii="Arial" w:hAnsi="Arial" w:cs="Arial"/>
          <w:b/>
          <w:sz w:val="20"/>
        </w:rPr>
        <w:t xml:space="preserve">Mã số thuế của người nộp thuế thực hiện đánh giá </w:t>
      </w:r>
      <w:r w:rsidRPr="006D7FD9">
        <w:rPr>
          <w:rFonts w:ascii="Arial" w:hAnsi="Arial" w:cs="Arial"/>
          <w:i/>
          <w:sz w:val="20"/>
        </w:rPr>
        <w:t>&lt;Hệ thống tự sinh&gt;</w:t>
      </w:r>
    </w:p>
    <w:p w:rsidR="00497DFF" w:rsidRPr="006D7FD9" w:rsidRDefault="00497DFF" w:rsidP="00497DFF">
      <w:pPr>
        <w:spacing w:before="120"/>
        <w:rPr>
          <w:rFonts w:ascii="Arial" w:hAnsi="Arial" w:cs="Arial"/>
          <w:sz w:val="20"/>
        </w:rPr>
      </w:pPr>
      <w:r w:rsidRPr="006D7FD9">
        <w:rPr>
          <w:rFonts w:ascii="Arial" w:hAnsi="Arial" w:cs="Arial"/>
          <w:b/>
          <w:sz w:val="20"/>
        </w:rPr>
        <w:t>Khảo sát sự hài lòng của người nộp thuế đối với cơ quan thuế</w:t>
      </w:r>
      <w:r w:rsidRPr="006D7FD9">
        <w:rPr>
          <w:rFonts w:ascii="Arial" w:hAnsi="Arial" w:cs="Arial"/>
          <w:sz w:val="20"/>
        </w:rPr>
        <w:t xml:space="preserve"> </w:t>
      </w:r>
      <w:r w:rsidRPr="006D7FD9">
        <w:rPr>
          <w:rFonts w:ascii="Arial" w:hAnsi="Arial" w:cs="Arial"/>
          <w:i/>
          <w:sz w:val="20"/>
        </w:rPr>
        <w:t>&lt;Hệ thống tự sinh&gt;</w:t>
      </w:r>
    </w:p>
    <w:p w:rsidR="00497DFF" w:rsidRPr="006D7FD9" w:rsidRDefault="00497DFF" w:rsidP="00497DFF">
      <w:pPr>
        <w:spacing w:before="120"/>
        <w:rPr>
          <w:rFonts w:ascii="Arial" w:hAnsi="Arial" w:cs="Arial"/>
          <w:sz w:val="20"/>
        </w:rPr>
      </w:pPr>
      <w:r w:rsidRPr="006D7FD9">
        <w:rPr>
          <w:rFonts w:ascii="Arial" w:hAnsi="Arial" w:cs="Arial"/>
          <w:sz w:val="20"/>
        </w:rPr>
        <w:t>Cục Thuế là đơn vị thuộc Bộ Tài chính thực hiện việc khảo sát sự hài lòng của người nộp thuế đối với sự phục vụ của cơ quan thuế nhằm thu nhận những thông tin cần thiết với mục tiêu xây dựng ngành Thuế Việt Nam hiện đại, tinh gọn, hoạt động hiệu lực, hiệu quả; công tác quản lý thuế thống nhất, minh bạch, chuyên sâu, chuyên nghiệp; đẩy mạnh ứng dụng công nghệ thông tin, đơn giản hóa thủ tục hành chính, giảm chi phí tuân thủ của người nộp thuế; nâng cao nhận thức, văn hoá thực thi công vụ lấy người nộp thuế làm trung tâm trong đội ngũ công chức thuế.</w:t>
      </w:r>
    </w:p>
    <w:p w:rsidR="00497DFF" w:rsidRPr="006D7FD9" w:rsidRDefault="00497DFF" w:rsidP="00497DFF">
      <w:pPr>
        <w:spacing w:before="120"/>
        <w:rPr>
          <w:rFonts w:ascii="Arial" w:hAnsi="Arial" w:cs="Arial"/>
          <w:sz w:val="20"/>
        </w:rPr>
      </w:pPr>
      <w:r w:rsidRPr="006D7FD9">
        <w:rPr>
          <w:rFonts w:ascii="Arial" w:hAnsi="Arial" w:cs="Arial"/>
          <w:sz w:val="20"/>
        </w:rPr>
        <w:t>Tất cả thông tin trong Phiếu khảo sát này chỉ sử dụng vào mục đích thống kê, nghiên cứu tiến hành cải cách trong thời gian tới. Cục Thuế cam kết bảo mật thông tin và danh tính người nộp thuế tham gia khảo sát.</w:t>
      </w:r>
    </w:p>
    <w:p w:rsidR="00497DFF" w:rsidRPr="006D7FD9" w:rsidRDefault="00497DFF" w:rsidP="00497DFF">
      <w:pPr>
        <w:spacing w:before="120"/>
        <w:rPr>
          <w:rFonts w:ascii="Arial" w:hAnsi="Arial" w:cs="Arial"/>
          <w:sz w:val="20"/>
        </w:rPr>
      </w:pPr>
      <w:r w:rsidRPr="006D7FD9">
        <w:rPr>
          <w:rFonts w:ascii="Arial" w:hAnsi="Arial" w:cs="Arial"/>
          <w:sz w:val="20"/>
        </w:rPr>
        <w:t>Với mong muốn nhận được những thông tin sát thực nhất, Cục Thuế trân trọng đề nghị người tham gia trả lời Phiếu khảo sát là Lãnh đạo hoặc người trực tiếp xử lý công việc liên quan tới lĩnh vực thuế của người nộp thuế để cung cấp một cách đầy đủ, chính xác, khách quan về nhưng thông tin trong Phiếu khảo sát.</w:t>
      </w:r>
    </w:p>
    <w:p w:rsidR="00497DFF" w:rsidRPr="006D7FD9" w:rsidRDefault="00497DFF" w:rsidP="00497DFF">
      <w:pPr>
        <w:spacing w:before="120"/>
        <w:rPr>
          <w:rFonts w:ascii="Arial" w:hAnsi="Arial" w:cs="Arial"/>
          <w:sz w:val="20"/>
        </w:rPr>
      </w:pPr>
      <w:r w:rsidRPr="006D7FD9">
        <w:rPr>
          <w:rFonts w:ascii="Arial" w:hAnsi="Arial" w:cs="Arial"/>
          <w:sz w:val="20"/>
        </w:rPr>
        <w:t>Người nộp thuế tham gia khảo sát có thể lựa chọn đánh giá một số hoặc toàn bộ các tiêu chí trong Phiếu khảo sát này theo các nội dung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85"/>
        <w:gridCol w:w="963"/>
        <w:gridCol w:w="385"/>
        <w:gridCol w:w="578"/>
        <w:gridCol w:w="591"/>
        <w:gridCol w:w="353"/>
        <w:gridCol w:w="424"/>
        <w:gridCol w:w="402"/>
        <w:gridCol w:w="769"/>
      </w:tblGrid>
      <w:tr w:rsidR="00497DFF" w:rsidTr="00D06AAA">
        <w:tc>
          <w:tcPr>
            <w:tcW w:w="2610" w:type="pct"/>
            <w:vMerge w:val="restart"/>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Tiêu chí</w:t>
            </w:r>
          </w:p>
        </w:tc>
        <w:tc>
          <w:tcPr>
            <w:tcW w:w="515" w:type="pct"/>
            <w:shd w:val="clear" w:color="auto" w:fill="auto"/>
            <w:vAlign w:val="center"/>
          </w:tcPr>
          <w:p w:rsidR="00497DFF" w:rsidRPr="006D7FD9" w:rsidRDefault="00497DFF" w:rsidP="00D06AAA">
            <w:pPr>
              <w:spacing w:before="120"/>
              <w:jc w:val="center"/>
              <w:rPr>
                <w:rFonts w:ascii="Arial" w:hAnsi="Arial" w:cs="Arial"/>
                <w:b/>
                <w:sz w:val="20"/>
              </w:rPr>
            </w:pPr>
          </w:p>
        </w:tc>
        <w:tc>
          <w:tcPr>
            <w:tcW w:w="1462" w:type="pct"/>
            <w:gridSpan w:val="6"/>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Mức độ hài lòng</w:t>
            </w:r>
          </w:p>
        </w:tc>
        <w:tc>
          <w:tcPr>
            <w:tcW w:w="413" w:type="pct"/>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vMerge/>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Rất không hài lòng</w:t>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Không hài lòng</w:t>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Bình thường</w:t>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Hài lòng</w:t>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rPr>
              <w:t>Rất hài lòng</w:t>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A. CÔNG TÁC XÂY DỰNG, TỔ CHỨC THỰC HIỆN CHÍNH SÁCH THUẾ, QUẢN LÝ THUẾ</w:t>
            </w:r>
          </w:p>
        </w:tc>
        <w:tc>
          <w:tcPr>
            <w:tcW w:w="515" w:type="pct"/>
            <w:tcBorders>
              <w:bottom w:val="single" w:sz="4" w:space="0" w:color="auto"/>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15" w:type="pct"/>
            <w:gridSpan w:val="2"/>
            <w:tcBorders>
              <w:bottom w:val="single" w:sz="4" w:space="0" w:color="auto"/>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05" w:type="pct"/>
            <w:gridSpan w:val="2"/>
            <w:tcBorders>
              <w:bottom w:val="single" w:sz="4" w:space="0" w:color="auto"/>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42" w:type="pct"/>
            <w:gridSpan w:val="2"/>
            <w:tcBorders>
              <w:bottom w:val="single" w:sz="4" w:space="0" w:color="auto"/>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13" w:type="pct"/>
            <w:tcBorders>
              <w:bottom w:val="single" w:sz="4" w:space="0" w:color="auto"/>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1. Trách nhiệm giải trình của cơ quan thuế</w:t>
            </w:r>
          </w:p>
        </w:tc>
        <w:tc>
          <w:tcPr>
            <w:tcW w:w="515"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1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0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42"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13"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 Cơ quan thuế cung cấp, phổ biến, hướng dẫn, giải thích thực hiện chính sách thuế, thủ tục hành chính thuế theo nhiều hình thức, dễ tìm, dễ thấy, kịp thời và dễ hiểu</w:t>
            </w: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II. Sự tham gia của người nộp thuế và kết quả tác động trong việc xây dựng, tổ chức thực hiện chính sách thuế, quản lý thuế</w:t>
            </w:r>
          </w:p>
        </w:tc>
        <w:tc>
          <w:tcPr>
            <w:tcW w:w="515"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1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0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42"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13"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 Cơ quan thuế tổ chức nhiều hình thức để người nộp thuế dễ dàng tham gia góp ý kiến xây dựng chính sách thuế và và công tác quản lý thuế tại địa phương</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 Các quy định về cơ chế quản lý thuế phù hợp với thực tiễn và có hiệu quả nâng cao tính tuân thủ pháp luật của người nộp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4. Cơ quan thuế, đội ngũ công chức thuế ở địa phương có năng lực và thực thi công vụ tốt hơn trong thời gian vừa qua</w:t>
            </w: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lastRenderedPageBreak/>
              <w:t>B. VIỆC CUNG ỨNG DỊCH VỤ CÔNG CỦA CƠ QUAN THUẾ</w:t>
            </w:r>
          </w:p>
        </w:tc>
        <w:tc>
          <w:tcPr>
            <w:tcW w:w="515"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0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42"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13"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I. Tiếp cận dịch vụ</w:t>
            </w:r>
          </w:p>
        </w:tc>
        <w:tc>
          <w:tcPr>
            <w:tcW w:w="515"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0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42"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13"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5. Bộ phận một cửa, nơi đón tiếp người nộp thuế của cơ quan thuế có biển hiệu, hướng dẫn rõ ràng, dễ tìm, dễ thấy</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6. Bộ phận một cửa, nơi tiếp đón người nộp thuế của cơ quan thuế có cơ sở vật chất, trang thiết bị phục vụ đầy đủ, chất lượng tốt, giúp giải quyết công việc dễ dàng hơn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7. Tra cứu chính sách thuế, thủ tục hành chính về thuế qua website, mạng xã hội của cơ quan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8. Cơ quan thuế hướng dẫn người nộp thuế sử dụng các ứng dụng của ngành thuế để thực hiện thủ tục hành chính thuế, tra cứu thông tin về thuế kịp thời, dễ hiểu, dễ thực hiện</w:t>
            </w: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II. Thực hiện thủ tục hành chính thuế</w:t>
            </w:r>
          </w:p>
        </w:tc>
        <w:tc>
          <w:tcPr>
            <w:tcW w:w="515"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1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50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42"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c>
          <w:tcPr>
            <w:tcW w:w="413"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9. Trình tự, cách thức thực hiện, hồ sơ, yêu cầu, điều kiện thực hiện thủ tục hành chính thuế đơn giản, dễ hiểu, dễ thực hiện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10. Việc nộp hồ sơ thủ tục hành chính thuế tại bộ phận một cửa của cơ quan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11. Việc nộp hồ sơ thủ tục hành chính theo phương thức điện tử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12. Yêu cầu giải trình, bổ sung hồ sơ thuế của cơ quan thuế trong quá trình thực hiện thủ tục hành chính là đúng quy định và phù hợp</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13. Thực hiện thủ tục đăng ký thuế, thay đổi thông tin đăng ký thuế, chuyển địa điểm hoạt động kinh doanh, đóng mã số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14. Thực hiện thủ tục khai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15. Thực hiện thủ tục hoàn thuế, miễn thuế, giảm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16. Thực hiện thủ tục nộp thuế, xác định nghĩa vụ nộp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17. Yêu cầu người nộp thuế đóng phí/lệ phí giải quyết thủ tục hành chính đúng theo quy định</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18. Hệ thống đường truyền dữ liệu hoạt động tốt và ổn định khi thực hiện thủ tục hành chính thuế bằng phương thức điện tử</w:t>
            </w: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III. Công chức giải quyết công việc</w:t>
            </w:r>
          </w:p>
        </w:tc>
        <w:tc>
          <w:tcPr>
            <w:tcW w:w="515"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05"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42" w:type="pct"/>
            <w:gridSpan w:val="2"/>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13" w:type="pct"/>
            <w:tcBorders>
              <w:tl2br w:val="single" w:sz="4" w:space="0" w:color="auto"/>
              <w:tr2bl w:val="single" w:sz="4" w:space="0" w:color="auto"/>
            </w:tcBorders>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19. Công chức ở bộ phận một cửa có thái độ, tác phong, giao tiếp lịch sự, tôn trọng người nộp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 xml:space="preserve">20. Công chức ở bộ phận một cửa hướng dẫn hồ sơ </w:t>
            </w:r>
            <w:r w:rsidRPr="006D7FD9">
              <w:rPr>
                <w:rFonts w:ascii="Arial" w:hAnsi="Arial" w:cs="Arial"/>
                <w:sz w:val="20"/>
              </w:rPr>
              <w:lastRenderedPageBreak/>
              <w:t>dễ hiểu, đầy đủ, giúp người nộp thuế dễ dàng hoàn thiện hồ sơ</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lastRenderedPageBreak/>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lastRenderedPageBreak/>
              <w:t>21. Công chức ở bộ phận một cửa tuân thủ đúng quy định trong giải quyết thủ tục hành chính cho người nộp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22. Công chức trực tiếp làm việc/giải quyết thủ tục hành chính có thái độ, tác phong, giao tiếp lịch sự, tôn trọng người nộp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23. Công chức trực tiếp làm việc/giải quyết thủ tục hành chính có năng lực, chuyên môn</w:t>
            </w: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tcBorders>
              <w:right w:val="single" w:sz="4" w:space="0" w:color="auto"/>
            </w:tcBorders>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IV. Kết quả thực hiện thủ tục hành chính thuế</w:t>
            </w:r>
          </w:p>
        </w:tc>
        <w:tc>
          <w:tcPr>
            <w:tcW w:w="515"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05"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42"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13"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24. Thời gian giải quyết thủ tục hành chính đúng quy định</w:t>
            </w:r>
          </w:p>
        </w:tc>
        <w:tc>
          <w:tcPr>
            <w:tcW w:w="515" w:type="pct"/>
            <w:tcBorders>
              <w:top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top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top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top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top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25. Trả kết quả giải quyết thủ tục hành chính đúng hẹn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26. Kết quả giải quyết thủ tục hành chính cho người nộp thuế đúng quy định</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27. Kết quả giải quyết thủ tục hành chính cho người nộp thuế đảm bảo tính công bằng</w:t>
            </w:r>
          </w:p>
        </w:tc>
        <w:tc>
          <w:tcPr>
            <w:tcW w:w="515"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tcBorders>
              <w:bottom w:val="single" w:sz="4" w:space="0" w:color="auto"/>
            </w:tcBorders>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V. Công tác kiểm tra thuế của cơ quan thuế tại trụ sở người nộp thuế</w:t>
            </w:r>
          </w:p>
        </w:tc>
        <w:tc>
          <w:tcPr>
            <w:tcW w:w="515" w:type="pct"/>
            <w:tcBorders>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gridSpan w:val="2"/>
            <w:tcBorders>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505" w:type="pct"/>
            <w:gridSpan w:val="2"/>
            <w:tcBorders>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42" w:type="pct"/>
            <w:gridSpan w:val="2"/>
            <w:tcBorders>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c>
          <w:tcPr>
            <w:tcW w:w="413" w:type="pct"/>
            <w:tcBorders>
              <w:tl2br w:val="nil"/>
              <w:tr2bl w:val="nil"/>
            </w:tcBorders>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28. Tần suất các cuộc kiểm tra tại trụ sở người nộp thuế là phù hợp</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29. Thời gian kiểm tra thuế tại trụ sở người nộp thuế đúng với thời gian trong quyết định kiểm tra đã ban hành</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30. Nội dung kiểm tra thuế không bị chồng chéo, trùng lặp</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31. Hoạt động kiểm tra thuế không cản trở hoạt động bình thường của người nộp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32. Thái độ, tác phong của công chức thuế thực hiện kiểm tra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33. Năng lực chuyên môn của công chức thuế thực hiện kiểm tra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34. Nội dung biên bản, kết luận kiểm tra của cơ quan thuế</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VI. Công tác tiếp nhận, giải quyết khiếu nại, tố cáo và xử lý phản ánh kiến nghị của cơ quan thuế</w:t>
            </w:r>
          </w:p>
        </w:tc>
        <w:tc>
          <w:tcPr>
            <w:tcW w:w="515" w:type="pct"/>
            <w:shd w:val="clear" w:color="auto" w:fill="auto"/>
            <w:vAlign w:val="center"/>
          </w:tcPr>
          <w:p w:rsidR="00497DFF" w:rsidRPr="006D7FD9" w:rsidRDefault="00497DFF" w:rsidP="00D06AAA">
            <w:pPr>
              <w:spacing w:before="120"/>
              <w:jc w:val="center"/>
              <w:rPr>
                <w:rFonts w:ascii="Arial" w:hAnsi="Arial" w:cs="Arial"/>
                <w:b/>
                <w:sz w:val="20"/>
              </w:rPr>
            </w:pPr>
          </w:p>
        </w:tc>
        <w:tc>
          <w:tcPr>
            <w:tcW w:w="515" w:type="pct"/>
            <w:gridSpan w:val="2"/>
            <w:shd w:val="clear" w:color="auto" w:fill="auto"/>
            <w:vAlign w:val="center"/>
          </w:tcPr>
          <w:p w:rsidR="00497DFF" w:rsidRPr="006D7FD9" w:rsidRDefault="00497DFF" w:rsidP="00D06AAA">
            <w:pPr>
              <w:spacing w:before="120"/>
              <w:jc w:val="center"/>
              <w:rPr>
                <w:rFonts w:ascii="Arial" w:hAnsi="Arial" w:cs="Arial"/>
                <w:b/>
                <w:sz w:val="20"/>
              </w:rPr>
            </w:pPr>
          </w:p>
        </w:tc>
        <w:tc>
          <w:tcPr>
            <w:tcW w:w="505" w:type="pct"/>
            <w:gridSpan w:val="2"/>
            <w:shd w:val="clear" w:color="auto" w:fill="auto"/>
            <w:vAlign w:val="center"/>
          </w:tcPr>
          <w:p w:rsidR="00497DFF" w:rsidRPr="006D7FD9" w:rsidRDefault="00497DFF" w:rsidP="00D06AAA">
            <w:pPr>
              <w:spacing w:before="120"/>
              <w:jc w:val="center"/>
              <w:rPr>
                <w:rFonts w:ascii="Arial" w:hAnsi="Arial" w:cs="Arial"/>
                <w:b/>
                <w:sz w:val="20"/>
              </w:rPr>
            </w:pPr>
          </w:p>
        </w:tc>
        <w:tc>
          <w:tcPr>
            <w:tcW w:w="442" w:type="pct"/>
            <w:gridSpan w:val="2"/>
            <w:shd w:val="clear" w:color="auto" w:fill="auto"/>
            <w:vAlign w:val="center"/>
          </w:tcPr>
          <w:p w:rsidR="00497DFF" w:rsidRPr="006D7FD9" w:rsidRDefault="00497DFF" w:rsidP="00D06AAA">
            <w:pPr>
              <w:spacing w:before="120"/>
              <w:jc w:val="center"/>
              <w:rPr>
                <w:rFonts w:ascii="Arial" w:hAnsi="Arial" w:cs="Arial"/>
                <w:b/>
                <w:sz w:val="20"/>
              </w:rPr>
            </w:pPr>
          </w:p>
        </w:tc>
        <w:tc>
          <w:tcPr>
            <w:tcW w:w="413" w:type="pct"/>
            <w:shd w:val="clear" w:color="auto" w:fill="auto"/>
            <w:vAlign w:val="center"/>
          </w:tcPr>
          <w:p w:rsidR="00497DFF" w:rsidRPr="006D7FD9" w:rsidRDefault="00497DFF" w:rsidP="00D06AAA">
            <w:pPr>
              <w:spacing w:before="120"/>
              <w:jc w:val="center"/>
              <w:rPr>
                <w:rFonts w:ascii="Arial" w:hAnsi="Arial" w:cs="Arial"/>
                <w:b/>
                <w:sz w:val="20"/>
              </w:rPr>
            </w:pP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35. Việc gửi thông tin khiếu nại, tố cáo, phản ánh, kiến nghị đến cơ quan thuế dễ dàng, thuận tiện</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36. Việc giải quyết khiếu nại, tố cáo, xử lý phản ánh kiến nghị kịp thời, đúng thời gian quy định</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37. Kết quả giải quyết khiếu nại, tố cáo, xử lý phản ánh kiến nghị công tâm, khách quan, đúng quy định</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 xml:space="preserve">38. Thái độ, tác phong của công chức thuế khi làm </w:t>
            </w:r>
            <w:r w:rsidRPr="006D7FD9">
              <w:rPr>
                <w:rFonts w:ascii="Arial" w:hAnsi="Arial" w:cs="Arial"/>
                <w:sz w:val="20"/>
              </w:rPr>
              <w:lastRenderedPageBreak/>
              <w:t>việc với người nộp thuế về nội dung khiếu nại, tố cáo, phản ánh, kiến nghị</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lastRenderedPageBreak/>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2610"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lastRenderedPageBreak/>
              <w:t>39. Năng lực chuyên môn của công chức thuế khí làm việc với người nộp thuế về nội dung khiếu nại, tố cáo, phản ánh, kiến nghị</w:t>
            </w:r>
          </w:p>
        </w:tc>
        <w:tc>
          <w:tcPr>
            <w:tcW w:w="515"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51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50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442"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c>
          <w:tcPr>
            <w:tcW w:w="413" w:type="pct"/>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5"/>
            </w:r>
          </w:p>
        </w:tc>
      </w:tr>
      <w:tr w:rsidR="00497DFF" w:rsidTr="00D06AAA">
        <w:tc>
          <w:tcPr>
            <w:tcW w:w="5000" w:type="pct"/>
            <w:gridSpan w:val="9"/>
            <w:shd w:val="clear" w:color="auto" w:fill="auto"/>
            <w:vAlign w:val="center"/>
          </w:tcPr>
          <w:p w:rsidR="00497DFF" w:rsidRPr="006D7FD9" w:rsidRDefault="00497DFF" w:rsidP="00D06AAA">
            <w:pPr>
              <w:spacing w:before="120"/>
              <w:rPr>
                <w:rFonts w:ascii="Arial" w:hAnsi="Arial" w:cs="Arial"/>
                <w:b/>
                <w:sz w:val="20"/>
              </w:rPr>
            </w:pPr>
            <w:r w:rsidRPr="006D7FD9">
              <w:rPr>
                <w:rFonts w:ascii="Arial" w:hAnsi="Arial" w:cs="Arial"/>
                <w:b/>
                <w:sz w:val="20"/>
              </w:rPr>
              <w:t>C. NHU CẦU, MONG ĐỢI CỦA NGƯỜI NỘP THUẾ ĐỐI VỚI SỰ PHỤC VỤ CỦA CƠ QUAN THUẾ</w:t>
            </w:r>
          </w:p>
        </w:tc>
      </w:tr>
      <w:tr w:rsidR="00497DFF" w:rsidTr="00D06AAA">
        <w:tc>
          <w:tcPr>
            <w:tcW w:w="2612" w:type="pct"/>
            <w:vMerge w:val="restart"/>
            <w:shd w:val="clear" w:color="auto" w:fill="auto"/>
            <w:vAlign w:val="center"/>
          </w:tcPr>
          <w:p w:rsidR="00497DFF" w:rsidRPr="006D7FD9" w:rsidRDefault="00497DFF" w:rsidP="00D06AAA">
            <w:pPr>
              <w:spacing w:before="120"/>
              <w:jc w:val="center"/>
              <w:rPr>
                <w:rFonts w:ascii="Arial" w:hAnsi="Arial" w:cs="Arial"/>
                <w:b/>
                <w:sz w:val="20"/>
                <w:lang w:val="en-US"/>
              </w:rPr>
            </w:pPr>
            <w:r w:rsidRPr="006D7FD9">
              <w:rPr>
                <w:rFonts w:ascii="Arial" w:hAnsi="Arial" w:cs="Arial"/>
                <w:b/>
                <w:sz w:val="20"/>
                <w:lang w:val="en-US"/>
              </w:rPr>
              <w:t>Tiêu chí</w:t>
            </w:r>
          </w:p>
        </w:tc>
        <w:tc>
          <w:tcPr>
            <w:tcW w:w="2386" w:type="pct"/>
            <w:gridSpan w:val="8"/>
            <w:shd w:val="clear" w:color="auto" w:fill="auto"/>
            <w:vAlign w:val="center"/>
          </w:tcPr>
          <w:p w:rsidR="00497DFF" w:rsidRPr="006D7FD9" w:rsidRDefault="00497DFF" w:rsidP="00D06AAA">
            <w:pPr>
              <w:spacing w:before="120"/>
              <w:jc w:val="center"/>
              <w:rPr>
                <w:rFonts w:ascii="Arial" w:hAnsi="Arial" w:cs="Arial"/>
                <w:b/>
                <w:sz w:val="20"/>
              </w:rPr>
            </w:pPr>
            <w:r w:rsidRPr="006D7FD9">
              <w:rPr>
                <w:rFonts w:ascii="Arial" w:hAnsi="Arial" w:cs="Arial"/>
                <w:b/>
                <w:sz w:val="20"/>
                <w:lang w:val="en-US"/>
              </w:rPr>
              <w:t>Nhu cầu, mong đợi của người nộp thuế</w:t>
            </w:r>
          </w:p>
        </w:tc>
      </w:tr>
      <w:tr w:rsidR="00497DFF" w:rsidTr="00D06AAA">
        <w:tc>
          <w:tcPr>
            <w:tcW w:w="2612" w:type="pct"/>
            <w:vMerge/>
            <w:shd w:val="clear" w:color="auto" w:fill="auto"/>
            <w:vAlign w:val="center"/>
          </w:tcPr>
          <w:p w:rsidR="00497DFF" w:rsidRPr="006D7FD9" w:rsidRDefault="00497DFF" w:rsidP="00D06AAA">
            <w:pPr>
              <w:spacing w:before="120"/>
              <w:rPr>
                <w:rFonts w:ascii="Arial" w:hAnsi="Arial" w:cs="Arial"/>
                <w:b/>
                <w:sz w:val="20"/>
              </w:rPr>
            </w:pPr>
          </w:p>
        </w:tc>
        <w:tc>
          <w:tcPr>
            <w:tcW w:w="721" w:type="pct"/>
            <w:gridSpan w:val="2"/>
            <w:shd w:val="clear" w:color="auto" w:fill="auto"/>
            <w:vAlign w:val="center"/>
          </w:tcPr>
          <w:p w:rsidR="00497DFF" w:rsidRPr="006D7FD9" w:rsidRDefault="00497DFF" w:rsidP="00D06AAA">
            <w:pPr>
              <w:spacing w:before="120"/>
              <w:jc w:val="center"/>
              <w:rPr>
                <w:rFonts w:ascii="Arial" w:hAnsi="Arial" w:cs="Arial"/>
                <w:b/>
                <w:sz w:val="20"/>
                <w:lang w:val="en-US"/>
              </w:rPr>
            </w:pPr>
            <w:r w:rsidRPr="006D7FD9">
              <w:rPr>
                <w:rFonts w:ascii="Arial" w:hAnsi="Arial" w:cs="Arial"/>
                <w:b/>
                <w:sz w:val="20"/>
                <w:lang w:val="en-US"/>
              </w:rPr>
              <w:t>Không mong muốn</w:t>
            </w:r>
          </w:p>
        </w:tc>
        <w:tc>
          <w:tcPr>
            <w:tcW w:w="625" w:type="pct"/>
            <w:gridSpan w:val="2"/>
            <w:shd w:val="clear" w:color="auto" w:fill="auto"/>
            <w:vAlign w:val="center"/>
          </w:tcPr>
          <w:p w:rsidR="00497DFF" w:rsidRPr="006D7FD9" w:rsidRDefault="00497DFF" w:rsidP="00D06AAA">
            <w:pPr>
              <w:spacing w:before="120"/>
              <w:jc w:val="center"/>
              <w:rPr>
                <w:rFonts w:ascii="Arial" w:hAnsi="Arial" w:cs="Arial"/>
                <w:b/>
                <w:sz w:val="20"/>
                <w:lang w:val="en-US"/>
              </w:rPr>
            </w:pPr>
            <w:r w:rsidRPr="006D7FD9">
              <w:rPr>
                <w:rFonts w:ascii="Arial" w:hAnsi="Arial" w:cs="Arial"/>
                <w:b/>
                <w:sz w:val="20"/>
                <w:lang w:val="en-US"/>
              </w:rPr>
              <w:t>Khá mong muốn</w:t>
            </w:r>
          </w:p>
        </w:tc>
        <w:tc>
          <w:tcPr>
            <w:tcW w:w="416" w:type="pct"/>
            <w:gridSpan w:val="2"/>
            <w:shd w:val="clear" w:color="auto" w:fill="auto"/>
            <w:vAlign w:val="center"/>
          </w:tcPr>
          <w:p w:rsidR="00497DFF" w:rsidRPr="006D7FD9" w:rsidRDefault="00497DFF" w:rsidP="00D06AAA">
            <w:pPr>
              <w:spacing w:before="120"/>
              <w:jc w:val="center"/>
              <w:rPr>
                <w:rFonts w:ascii="Arial" w:hAnsi="Arial" w:cs="Arial"/>
                <w:b/>
                <w:sz w:val="20"/>
                <w:lang w:val="en-US"/>
              </w:rPr>
            </w:pPr>
            <w:r w:rsidRPr="006D7FD9">
              <w:rPr>
                <w:rFonts w:ascii="Arial" w:hAnsi="Arial" w:cs="Arial"/>
                <w:b/>
                <w:sz w:val="20"/>
                <w:lang w:val="en-US"/>
              </w:rPr>
              <w:t>Mong muốn</w:t>
            </w:r>
          </w:p>
        </w:tc>
        <w:tc>
          <w:tcPr>
            <w:tcW w:w="624" w:type="pct"/>
            <w:gridSpan w:val="2"/>
            <w:shd w:val="clear" w:color="auto" w:fill="auto"/>
            <w:vAlign w:val="center"/>
          </w:tcPr>
          <w:p w:rsidR="00497DFF" w:rsidRPr="006D7FD9" w:rsidRDefault="00497DFF" w:rsidP="00D06AAA">
            <w:pPr>
              <w:spacing w:before="120"/>
              <w:jc w:val="center"/>
              <w:rPr>
                <w:rFonts w:ascii="Arial" w:hAnsi="Arial" w:cs="Arial"/>
                <w:b/>
                <w:sz w:val="20"/>
                <w:lang w:val="en-US"/>
              </w:rPr>
            </w:pPr>
            <w:r w:rsidRPr="006D7FD9">
              <w:rPr>
                <w:rFonts w:ascii="Arial" w:hAnsi="Arial" w:cs="Arial"/>
                <w:b/>
                <w:sz w:val="20"/>
                <w:lang w:val="en-US"/>
              </w:rPr>
              <w:t>Rất mong muốn</w:t>
            </w:r>
          </w:p>
        </w:tc>
      </w:tr>
      <w:tr w:rsidR="00497DFF" w:rsidTr="00D06AAA">
        <w:tc>
          <w:tcPr>
            <w:tcW w:w="2612"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40. Nâng cao tính công khai, minh bạch trong cung cấp thông tin cho người nộp thuế</w:t>
            </w:r>
          </w:p>
        </w:tc>
        <w:tc>
          <w:tcPr>
            <w:tcW w:w="721"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62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416"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624"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r>
      <w:tr w:rsidR="00497DFF" w:rsidTr="00D06AAA">
        <w:tc>
          <w:tcPr>
            <w:tcW w:w="2612"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41. Nâng cao chất lượng của công chức trong giải quyết công việc cho người nộp thuế</w:t>
            </w:r>
          </w:p>
        </w:tc>
        <w:tc>
          <w:tcPr>
            <w:tcW w:w="721"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62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416"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624"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r>
      <w:tr w:rsidR="00497DFF" w:rsidTr="00D06AAA">
        <w:tc>
          <w:tcPr>
            <w:tcW w:w="2612"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42. Nâng cao tinh thần, thái độ phục vụ của công chức thuế đối với người nộp thuế trong giải quyết công việc cho người nộp thuế</w:t>
            </w:r>
          </w:p>
        </w:tc>
        <w:tc>
          <w:tcPr>
            <w:tcW w:w="721"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62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416"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624"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r>
      <w:tr w:rsidR="00497DFF" w:rsidTr="00D06AAA">
        <w:tc>
          <w:tcPr>
            <w:tcW w:w="2612"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43. Tăng cường ứng dụng công nghệ thông tin, chuyển đổi số trong giải quyết công việc cho người nộp thuế</w:t>
            </w:r>
          </w:p>
        </w:tc>
        <w:tc>
          <w:tcPr>
            <w:tcW w:w="721"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62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416"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624"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r>
      <w:tr w:rsidR="00497DFF" w:rsidTr="00D06AAA">
        <w:tc>
          <w:tcPr>
            <w:tcW w:w="2612" w:type="pct"/>
            <w:shd w:val="clear" w:color="auto" w:fill="auto"/>
            <w:vAlign w:val="center"/>
          </w:tcPr>
          <w:p w:rsidR="00497DFF" w:rsidRPr="006D7FD9" w:rsidRDefault="00497DFF" w:rsidP="00D06AAA">
            <w:pPr>
              <w:spacing w:before="120"/>
              <w:rPr>
                <w:rFonts w:ascii="Arial" w:hAnsi="Arial" w:cs="Arial"/>
                <w:sz w:val="20"/>
              </w:rPr>
            </w:pPr>
            <w:r w:rsidRPr="006D7FD9">
              <w:rPr>
                <w:rFonts w:ascii="Arial" w:hAnsi="Arial" w:cs="Arial"/>
                <w:sz w:val="20"/>
              </w:rPr>
              <w:t>44. Nâng cao chất lượng dịch vụ công trực tuyến để tạo điều kiện thuận lợi, dễ dàng cho người dân trong thực hiện dịch vụ công trực tuyến</w:t>
            </w:r>
          </w:p>
        </w:tc>
        <w:tc>
          <w:tcPr>
            <w:tcW w:w="721"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1"/>
            </w:r>
          </w:p>
        </w:tc>
        <w:tc>
          <w:tcPr>
            <w:tcW w:w="625"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2"/>
            </w:r>
          </w:p>
        </w:tc>
        <w:tc>
          <w:tcPr>
            <w:tcW w:w="416"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3"/>
            </w:r>
          </w:p>
        </w:tc>
        <w:tc>
          <w:tcPr>
            <w:tcW w:w="624" w:type="pct"/>
            <w:gridSpan w:val="2"/>
            <w:shd w:val="clear" w:color="auto" w:fill="auto"/>
            <w:vAlign w:val="center"/>
          </w:tcPr>
          <w:p w:rsidR="00497DFF" w:rsidRPr="006D7FD9" w:rsidRDefault="00497DFF" w:rsidP="00D06AAA">
            <w:pPr>
              <w:spacing w:before="120"/>
              <w:jc w:val="center"/>
              <w:rPr>
                <w:rFonts w:ascii="Arial" w:hAnsi="Arial" w:cs="Arial"/>
                <w:sz w:val="20"/>
              </w:rPr>
            </w:pPr>
            <w:r w:rsidRPr="006D7FD9">
              <w:rPr>
                <w:rFonts w:ascii="Wingdings" w:hAnsi="Wingdings" w:cs="Arial"/>
                <w:sz w:val="20"/>
              </w:rPr>
              <w:sym w:font="Wingdings" w:char="F084"/>
            </w:r>
          </w:p>
        </w:tc>
      </w:tr>
    </w:tbl>
    <w:p w:rsidR="00497DFF" w:rsidRPr="006D7FD9" w:rsidRDefault="00497DFF" w:rsidP="00497DFF">
      <w:pPr>
        <w:spacing w:before="120"/>
        <w:rPr>
          <w:rFonts w:ascii="Arial" w:hAnsi="Arial" w:cs="Arial"/>
          <w:sz w:val="20"/>
        </w:rPr>
      </w:pPr>
      <w:r w:rsidRPr="006D7FD9">
        <w:rPr>
          <w:rFonts w:ascii="Arial" w:hAnsi="Arial" w:cs="Arial"/>
          <w:sz w:val="20"/>
        </w:rPr>
        <w:t>Ngoài các nội dung trên, người nộp thuế có thể cho thêm các ý kiến khác nhằm nâng cao chất lượng phục vụ người nộp thuế trong thời gian tới:</w:t>
      </w:r>
    </w:p>
    <w:p w:rsidR="00497DFF" w:rsidRPr="006D7FD9" w:rsidRDefault="00497DFF" w:rsidP="00497DFF">
      <w:pPr>
        <w:spacing w:before="120"/>
        <w:rPr>
          <w:rFonts w:ascii="Arial" w:hAnsi="Arial" w:cs="Arial"/>
          <w:sz w:val="20"/>
        </w:rPr>
      </w:pPr>
      <w:r w:rsidRPr="006D7FD9">
        <w:rPr>
          <w:rFonts w:ascii="Arial" w:hAnsi="Arial" w:cs="Arial"/>
          <w:sz w:val="20"/>
        </w:rPr>
        <w:t>45. Người nộp thuế có phải trả các khoản chi phí không chính thức/ngoài quy định cho cơ quan thuế/công chức thuế khi giải quyết công việc hoặc thực hiện thủ tục hành chính với cơ quan thuế không?</w:t>
      </w:r>
    </w:p>
    <w:tbl>
      <w:tblPr>
        <w:tblW w:w="5000" w:type="pct"/>
        <w:tblCellMar>
          <w:left w:w="0" w:type="dxa"/>
          <w:right w:w="0" w:type="dxa"/>
        </w:tblCellMar>
        <w:tblLook w:val="0000" w:firstRow="0" w:lastRow="0" w:firstColumn="0" w:lastColumn="0" w:noHBand="0" w:noVBand="0"/>
      </w:tblPr>
      <w:tblGrid>
        <w:gridCol w:w="5311"/>
        <w:gridCol w:w="2102"/>
        <w:gridCol w:w="1947"/>
      </w:tblGrid>
      <w:tr w:rsidR="00497DFF" w:rsidTr="00D06AAA">
        <w:tc>
          <w:tcPr>
            <w:tcW w:w="2837" w:type="pct"/>
            <w:shd w:val="clear" w:color="auto" w:fill="auto"/>
          </w:tcPr>
          <w:p w:rsidR="00497DFF" w:rsidRPr="006D7FD9" w:rsidRDefault="00497DFF" w:rsidP="00D06AAA">
            <w:pPr>
              <w:spacing w:before="120"/>
              <w:rPr>
                <w:rFonts w:ascii="Arial" w:hAnsi="Arial" w:cs="Arial"/>
                <w:sz w:val="20"/>
              </w:rPr>
            </w:pPr>
            <w:r w:rsidRPr="006D7FD9">
              <w:rPr>
                <w:rFonts w:ascii="Arial" w:hAnsi="Arial" w:cs="Arial"/>
                <w:sz w:val="20"/>
              </w:rPr>
              <w:t>- Khi thực hiện thủ tục hành chính</w:t>
            </w:r>
          </w:p>
        </w:tc>
        <w:tc>
          <w:tcPr>
            <w:tcW w:w="1123" w:type="pct"/>
            <w:shd w:val="clear" w:color="auto" w:fill="auto"/>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Có </w:t>
            </w:r>
            <w:r>
              <w:rPr>
                <w:rFonts w:ascii="Arial" w:hAnsi="Arial" w:cs="Arial"/>
                <w:noProof/>
                <w:sz w:val="20"/>
                <w:lang w:val="en-US" w:eastAsia="en-US"/>
              </w:rPr>
              <w:drawing>
                <wp:inline distT="0" distB="0" distL="0" distR="0" wp14:anchorId="4570C56F" wp14:editId="125310EA">
                  <wp:extent cx="236220" cy="175260"/>
                  <wp:effectExtent l="0" t="0" r="0" b="0"/>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c>
          <w:tcPr>
            <w:tcW w:w="1040" w:type="pct"/>
            <w:shd w:val="clear" w:color="auto" w:fill="auto"/>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Không </w:t>
            </w:r>
            <w:r>
              <w:rPr>
                <w:rFonts w:ascii="Arial" w:hAnsi="Arial" w:cs="Arial"/>
                <w:noProof/>
                <w:sz w:val="20"/>
                <w:lang w:val="en-US" w:eastAsia="en-US"/>
              </w:rPr>
              <w:drawing>
                <wp:inline distT="0" distB="0" distL="0" distR="0" wp14:anchorId="17BC8F77" wp14:editId="37D89362">
                  <wp:extent cx="236220" cy="175260"/>
                  <wp:effectExtent l="0" t="0" r="0" b="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r>
      <w:tr w:rsidR="00497DFF" w:rsidTr="00D06AAA">
        <w:tc>
          <w:tcPr>
            <w:tcW w:w="2837" w:type="pct"/>
            <w:shd w:val="clear" w:color="auto" w:fill="auto"/>
            <w:vAlign w:val="bottom"/>
          </w:tcPr>
          <w:p w:rsidR="00497DFF" w:rsidRPr="006D7FD9" w:rsidRDefault="00497DFF" w:rsidP="00D06AAA">
            <w:pPr>
              <w:spacing w:before="120"/>
              <w:rPr>
                <w:rFonts w:ascii="Arial" w:hAnsi="Arial" w:cs="Arial"/>
                <w:sz w:val="20"/>
              </w:rPr>
            </w:pPr>
            <w:r w:rsidRPr="006D7FD9">
              <w:rPr>
                <w:rFonts w:ascii="Arial" w:hAnsi="Arial" w:cs="Arial"/>
                <w:sz w:val="20"/>
              </w:rPr>
              <w:t>- Khi được kiểm tra</w:t>
            </w:r>
          </w:p>
        </w:tc>
        <w:tc>
          <w:tcPr>
            <w:tcW w:w="1123" w:type="pct"/>
            <w:shd w:val="clear" w:color="auto" w:fill="auto"/>
            <w:vAlign w:val="bottom"/>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Có </w:t>
            </w:r>
            <w:r>
              <w:rPr>
                <w:rFonts w:ascii="Arial" w:hAnsi="Arial" w:cs="Arial"/>
                <w:noProof/>
                <w:sz w:val="20"/>
                <w:lang w:val="en-US" w:eastAsia="en-US"/>
              </w:rPr>
              <w:drawing>
                <wp:inline distT="0" distB="0" distL="0" distR="0" wp14:anchorId="0A9AF790" wp14:editId="7618046F">
                  <wp:extent cx="236220" cy="175260"/>
                  <wp:effectExtent l="0" t="0" r="0"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c>
          <w:tcPr>
            <w:tcW w:w="1040" w:type="pct"/>
            <w:shd w:val="clear" w:color="auto" w:fill="auto"/>
            <w:vAlign w:val="bottom"/>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Không </w:t>
            </w:r>
            <w:r>
              <w:rPr>
                <w:rFonts w:ascii="Arial" w:hAnsi="Arial" w:cs="Arial"/>
                <w:noProof/>
                <w:sz w:val="20"/>
                <w:lang w:val="en-US" w:eastAsia="en-US"/>
              </w:rPr>
              <w:drawing>
                <wp:inline distT="0" distB="0" distL="0" distR="0" wp14:anchorId="126F0E36" wp14:editId="4980F912">
                  <wp:extent cx="236220" cy="175260"/>
                  <wp:effectExtent l="0" t="0" r="0" b="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r>
      <w:tr w:rsidR="00497DFF" w:rsidTr="00D06AAA">
        <w:tc>
          <w:tcPr>
            <w:tcW w:w="2837" w:type="pct"/>
            <w:shd w:val="clear" w:color="auto" w:fill="auto"/>
            <w:vAlign w:val="bottom"/>
          </w:tcPr>
          <w:p w:rsidR="00497DFF" w:rsidRPr="006D7FD9" w:rsidRDefault="00497DFF" w:rsidP="00D06AAA">
            <w:pPr>
              <w:spacing w:before="120"/>
              <w:rPr>
                <w:rFonts w:ascii="Arial" w:hAnsi="Arial" w:cs="Arial"/>
                <w:sz w:val="20"/>
              </w:rPr>
            </w:pPr>
            <w:r w:rsidRPr="006D7FD9">
              <w:rPr>
                <w:rFonts w:ascii="Arial" w:hAnsi="Arial" w:cs="Arial"/>
                <w:sz w:val="20"/>
              </w:rPr>
              <w:t>- Khi giải quyết khiếu nại</w:t>
            </w:r>
          </w:p>
        </w:tc>
        <w:tc>
          <w:tcPr>
            <w:tcW w:w="1123" w:type="pct"/>
            <w:shd w:val="clear" w:color="auto" w:fill="auto"/>
            <w:vAlign w:val="bottom"/>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Có </w:t>
            </w:r>
            <w:r>
              <w:rPr>
                <w:rFonts w:ascii="Arial" w:hAnsi="Arial" w:cs="Arial"/>
                <w:noProof/>
                <w:sz w:val="20"/>
                <w:lang w:val="en-US" w:eastAsia="en-US"/>
              </w:rPr>
              <w:drawing>
                <wp:inline distT="0" distB="0" distL="0" distR="0" wp14:anchorId="73DFFE01" wp14:editId="73205DBA">
                  <wp:extent cx="236220" cy="175260"/>
                  <wp:effectExtent l="0" t="0" r="0" b="0"/>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c>
          <w:tcPr>
            <w:tcW w:w="1040" w:type="pct"/>
            <w:shd w:val="clear" w:color="auto" w:fill="auto"/>
            <w:vAlign w:val="bottom"/>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Không </w:t>
            </w:r>
            <w:r>
              <w:rPr>
                <w:rFonts w:ascii="Arial" w:hAnsi="Arial" w:cs="Arial"/>
                <w:noProof/>
                <w:sz w:val="20"/>
                <w:lang w:val="en-US" w:eastAsia="en-US"/>
              </w:rPr>
              <w:drawing>
                <wp:inline distT="0" distB="0" distL="0" distR="0" wp14:anchorId="3BB8A208" wp14:editId="352CD151">
                  <wp:extent cx="236220" cy="175260"/>
                  <wp:effectExtent l="0" t="0" r="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r>
      <w:tr w:rsidR="00497DFF" w:rsidTr="00D06AAA">
        <w:tc>
          <w:tcPr>
            <w:tcW w:w="2837" w:type="pct"/>
            <w:shd w:val="clear" w:color="auto" w:fill="auto"/>
            <w:vAlign w:val="bottom"/>
          </w:tcPr>
          <w:p w:rsidR="00497DFF" w:rsidRPr="006D7FD9" w:rsidRDefault="00497DFF" w:rsidP="00D06AAA">
            <w:pPr>
              <w:spacing w:before="120"/>
              <w:rPr>
                <w:rFonts w:ascii="Arial" w:hAnsi="Arial" w:cs="Arial"/>
                <w:sz w:val="20"/>
              </w:rPr>
            </w:pPr>
            <w:r w:rsidRPr="006D7FD9">
              <w:rPr>
                <w:rFonts w:ascii="Arial" w:hAnsi="Arial" w:cs="Arial"/>
                <w:sz w:val="20"/>
              </w:rPr>
              <w:t>- Trong các công việc khác</w:t>
            </w:r>
          </w:p>
        </w:tc>
        <w:tc>
          <w:tcPr>
            <w:tcW w:w="1123" w:type="pct"/>
            <w:shd w:val="clear" w:color="auto" w:fill="auto"/>
            <w:vAlign w:val="bottom"/>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Có </w:t>
            </w:r>
            <w:r>
              <w:rPr>
                <w:rFonts w:ascii="Arial" w:hAnsi="Arial" w:cs="Arial"/>
                <w:noProof/>
                <w:sz w:val="20"/>
                <w:lang w:val="en-US" w:eastAsia="en-US"/>
              </w:rPr>
              <w:drawing>
                <wp:inline distT="0" distB="0" distL="0" distR="0" wp14:anchorId="1366E40C" wp14:editId="6D476F1B">
                  <wp:extent cx="236220" cy="175260"/>
                  <wp:effectExtent l="0" t="0" r="0"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c>
          <w:tcPr>
            <w:tcW w:w="1040" w:type="pct"/>
            <w:shd w:val="clear" w:color="auto" w:fill="auto"/>
            <w:vAlign w:val="bottom"/>
          </w:tcPr>
          <w:p w:rsidR="00497DFF" w:rsidRPr="006D7FD9" w:rsidRDefault="00497DFF" w:rsidP="00D06AAA">
            <w:pPr>
              <w:spacing w:before="120"/>
              <w:rPr>
                <w:rFonts w:ascii="Arial" w:hAnsi="Arial" w:cs="Arial"/>
                <w:sz w:val="20"/>
                <w:lang w:val="en-US"/>
              </w:rPr>
            </w:pPr>
            <w:r w:rsidRPr="006D7FD9">
              <w:rPr>
                <w:rFonts w:ascii="Arial" w:hAnsi="Arial" w:cs="Arial"/>
                <w:sz w:val="20"/>
              </w:rPr>
              <w:t xml:space="preserve">Không </w:t>
            </w:r>
            <w:r>
              <w:rPr>
                <w:rFonts w:ascii="Arial" w:hAnsi="Arial" w:cs="Arial"/>
                <w:noProof/>
                <w:sz w:val="20"/>
                <w:lang w:val="en-US" w:eastAsia="en-US"/>
              </w:rPr>
              <w:drawing>
                <wp:inline distT="0" distB="0" distL="0" distR="0" wp14:anchorId="687E5B56" wp14:editId="5282EE3F">
                  <wp:extent cx="236220" cy="175260"/>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p>
        </w:tc>
      </w:tr>
    </w:tbl>
    <w:p w:rsidR="00497DFF" w:rsidRPr="006D7FD9" w:rsidRDefault="00497DFF" w:rsidP="00497DFF">
      <w:pPr>
        <w:spacing w:before="120"/>
        <w:rPr>
          <w:rFonts w:ascii="Arial" w:hAnsi="Arial" w:cs="Arial"/>
          <w:sz w:val="20"/>
        </w:rPr>
      </w:pPr>
      <w:r w:rsidRPr="006D7FD9">
        <w:rPr>
          <w:rFonts w:ascii="Arial" w:hAnsi="Arial" w:cs="Arial"/>
          <w:sz w:val="20"/>
        </w:rPr>
        <w:t>46. Ý kiến góp ý khác (NNT cho ý kiến cụ thể về những nội dung đánh giá “Rất không hài lòng” hoặc phản ánh về tình trạng gây khó khăn, gây phiền hà, nhũng nhiễu của công chức thuế...)</w:t>
      </w:r>
    </w:p>
    <w:p w:rsidR="00497DFF" w:rsidRPr="006D7FD9" w:rsidRDefault="00497DFF" w:rsidP="00497DFF">
      <w:pPr>
        <w:spacing w:before="120"/>
        <w:rPr>
          <w:rFonts w:ascii="Arial" w:hAnsi="Arial" w:cs="Arial"/>
          <w:sz w:val="20"/>
          <w:lang w:val="en-US"/>
        </w:rPr>
      </w:pPr>
      <w:r w:rsidRPr="006D7FD9">
        <w:rPr>
          <w:rFonts w:ascii="Arial" w:hAnsi="Arial" w:cs="Arial"/>
          <w:sz w:val="20"/>
          <w:lang w:val="en-US"/>
        </w:rPr>
        <w:t>……………………………………………………………………………………………………….</w:t>
      </w:r>
    </w:p>
    <w:p w:rsidR="00497DFF" w:rsidRPr="006D7FD9" w:rsidRDefault="00497DFF" w:rsidP="00497DFF">
      <w:pPr>
        <w:spacing w:before="120"/>
        <w:rPr>
          <w:rFonts w:ascii="Arial" w:hAnsi="Arial" w:cs="Arial"/>
          <w:sz w:val="20"/>
          <w:lang w:val="en-US"/>
        </w:rPr>
      </w:pPr>
      <w:r w:rsidRPr="006D7FD9">
        <w:rPr>
          <w:rFonts w:ascii="Arial" w:hAnsi="Arial" w:cs="Arial"/>
          <w:sz w:val="20"/>
          <w:lang w:val="en-US"/>
        </w:rPr>
        <w:t>……………………………………………………………………………………………………….</w:t>
      </w:r>
    </w:p>
    <w:p w:rsidR="00497DFF" w:rsidRPr="006D7FD9" w:rsidRDefault="00497DFF" w:rsidP="00497DFF">
      <w:pPr>
        <w:spacing w:before="120"/>
        <w:jc w:val="right"/>
        <w:rPr>
          <w:rFonts w:ascii="Arial" w:hAnsi="Arial" w:cs="Arial"/>
          <w:b/>
          <w:i/>
          <w:sz w:val="20"/>
        </w:rPr>
      </w:pPr>
      <w:r w:rsidRPr="006D7FD9">
        <w:rPr>
          <w:rFonts w:ascii="Arial" w:hAnsi="Arial" w:cs="Arial"/>
          <w:b/>
          <w:i/>
          <w:sz w:val="20"/>
        </w:rPr>
        <w:t>XIN TR</w:t>
      </w:r>
      <w:r w:rsidRPr="006D7FD9">
        <w:rPr>
          <w:rFonts w:ascii="Arial" w:hAnsi="Arial" w:cs="Arial"/>
          <w:b/>
          <w:i/>
          <w:sz w:val="20"/>
          <w:lang w:val="en-US"/>
        </w:rPr>
        <w:t>Â</w:t>
      </w:r>
      <w:r w:rsidRPr="006D7FD9">
        <w:rPr>
          <w:rFonts w:ascii="Arial" w:hAnsi="Arial" w:cs="Arial"/>
          <w:b/>
          <w:i/>
          <w:sz w:val="20"/>
        </w:rPr>
        <w:t>N TRỌNG CẢM ƠN</w:t>
      </w:r>
    </w:p>
    <w:p w:rsidR="00A85DD1" w:rsidRDefault="00A85DD1">
      <w:bookmarkStart w:id="3" w:name="_GoBack"/>
      <w:bookmarkEnd w:id="3"/>
    </w:p>
    <w:sectPr w:rsidR="00A8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DFF"/>
    <w:rsid w:val="00497DFF"/>
    <w:rsid w:val="00A85DD1"/>
    <w:rsid w:val="00E9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7E164-DBD1-42A1-9217-6860BDC9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497DFF"/>
    <w:pPr>
      <w:widowControl w:val="0"/>
      <w:spacing w:after="0" w:line="240" w:lineRule="auto"/>
    </w:pPr>
    <w:rPr>
      <w:rFonts w:ascii="Microsoft Sans Serif" w:eastAsia="Microsoft Sans Serif" w:hAnsi="Microsoft Sans Serif" w:cs="Microsoft Sans Serif"/>
      <w:color w:val="000000"/>
      <w:sz w:val="24"/>
      <w:szCs w:val="24"/>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7073</Characters>
  <Application>Microsoft Office Word</Application>
  <DocSecurity>0</DocSecurity>
  <Lines>58</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Luat_content_2025</dc:creator>
  <cp:keywords/>
  <dc:description/>
  <cp:lastModifiedBy>Luat_content_2025</cp:lastModifiedBy>
  <cp:revision>1</cp:revision>
  <dcterms:created xsi:type="dcterms:W3CDTF">2026-09-03T02:33:00Z</dcterms:created>
  <dcterms:modified xsi:type="dcterms:W3CDTF">2026-09-03T02:33:00Z</dcterms:modified>
</cp:coreProperties>
</file>