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91B189"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b/>
          <w:bCs/>
          <w:color w:val="222222"/>
        </w:rPr>
        <w:t>Điều 11. Các trường hợp không phải nộp hồ sơ khai thuế, khoản thu khác</w:t>
      </w:r>
    </w:p>
    <w:p w14:paraId="6054ACBC"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Người nộp thuế không phải nộp hồ sơ khai thuế, khoản thu khác đối với từng loại thuế, khoản thu khác trong các trường hợp sau đây:</w:t>
      </w:r>
    </w:p>
    <w:p w14:paraId="2B738B94"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 xml:space="preserve">1. Người nộp thuế chỉ có hoạt động, kinh doanh thuộc đối tượng không chịu thuế theo quy định của pháp luật về thuế, trừ trường hợp hộ kinh doanh, cá nhân kinh doanh hàng hóa, dịch vụ có mức doanh thu hằng năm thuộc đối tượng không chịu thuế giá trị gia tăng và thuộc đối tượng không phải nộp thuế thu nhập cá nhân thực hiện theo quy định tại Nghị định số </w:t>
      </w:r>
      <w:hyperlink r:id="rId4" w:tgtFrame="_blank" w:tooltip="Nghị định 141/2026/NĐ-CP" w:history="1">
        <w:r>
          <w:rPr>
            <w:rStyle w:val="Hyperlink"/>
            <w:rFonts w:ascii="Arial" w:hAnsi="Arial" w:cs="Arial"/>
            <w:color w:val="A67C52"/>
          </w:rPr>
          <w:t>141/2026/NĐ-CP</w:t>
        </w:r>
      </w:hyperlink>
      <w:r>
        <w:rPr>
          <w:rFonts w:ascii="Arial" w:hAnsi="Arial" w:cs="Arial"/>
          <w:color w:val="222222"/>
        </w:rPr>
        <w:t xml:space="preserve"> của Chính phủ.</w:t>
      </w:r>
    </w:p>
    <w:p w14:paraId="0ABE7A18"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2. Tổ chức, cá nhân trả thu nhập, cá nhân trực tiếp khai thuế với cơ quan thuế không phải nộp hồ sơ khai thuế thu nhập cá nhân đối với thu nhập được miễn thuế quy định tại Điều 4 và Điều 5 Luật Thuế thu nhập cá nhân, trừ các trường hợp được miễn thuế quy định tại các khoản 1, 2, 17 Điều 4, thu nhập của chuyên gia từ dự án khởi nghiệp sáng tạo quy định tại khoản 19 Điều 4 và các khoản 2, 3, 4 Điều 5 Luật Thuế thu nhập cá nhân.</w:t>
      </w:r>
    </w:p>
    <w:p w14:paraId="485EAF94"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3. Doanh nghiệp chế xuất chỉ có hoạt động chế xuất thì không phải nộp hồ sơ khai thuế giá trị gia tăng.</w:t>
      </w:r>
    </w:p>
    <w:p w14:paraId="738297D4"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4. Người nộp thuế trong thời gian tạm ngừng hoạt động, kinh doanh theo quy định tại điểm c.1 khoản 1 Điều 7 Nghị định này.</w:t>
      </w:r>
    </w:p>
    <w:p w14:paraId="7407A2C3"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5. Người nộp thuế đã nộp hồ sơ chấm dứt hiệu lực mã số thuế, trừ hồ sơ quyết toán thuế đến thời điểm chấm dứt hiệu lực mã số thuế và hồ sơ khai thuế đối với nghĩa vụ thuế phát sinh sau thời điểm nộp hồ sơ chấm dứt hiệu lực mã số thuế.</w:t>
      </w:r>
    </w:p>
    <w:p w14:paraId="63FC11B1"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6. Người khai thuế thu nhập cá nhân là tổ chức, cá nhân trả thu nhập thuộc trường hợp khai thuế thu nhập cá nhân theo tháng, quý mà trong thán</w:t>
      </w:r>
      <w:bookmarkStart w:id="0" w:name="_GoBack"/>
      <w:bookmarkEnd w:id="0"/>
      <w:r>
        <w:rPr>
          <w:rFonts w:ascii="Arial" w:hAnsi="Arial" w:cs="Arial"/>
          <w:color w:val="222222"/>
        </w:rPr>
        <w:t>g, quý đó không phát sinh việc khấu trừ thuế thu nhập cá nhân của đối tượng nhận thu nhập.</w:t>
      </w:r>
    </w:p>
    <w:p w14:paraId="583FA112"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Trường hợp tháng, quý cuối cùng trong năm hoặc tháng, quý phát sinh việc chia, tách, hợp nhất, sáp nhập, giải thể, phá sản, chấm dứt hoạt động không phát sinh việc khấu trừ thuế và thuộc trường hợp không phải quyết toán thuế thu nhập cá nhân theo hướng dẫn của Bộ trưởng Bộ Tài chính thì tổ chức, cá nhân trả thu nhập vẫn phải nộp hồ sơ khai thuế thu nhập cá nhân của tháng, quý cuối cùng trong năm hoặc tháng, quý phát sinh việc chia, tách, hợp nhất, sáp nhập, giải thể, phá sản, chấm dứt hoạt động.</w:t>
      </w:r>
    </w:p>
    <w:p w14:paraId="1C130D5A"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7. Trường hợp tổ chức, cá nhân không phát sinh trả thu nhập từ tiền lương, tiền công thì không phải nộp hồ sơ khai quyết toán thuế thu nhập cá nhân đối với thu nhập từ tiền lương, tiền công.</w:t>
      </w:r>
    </w:p>
    <w:p w14:paraId="21F3F90F"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8. Tổ chức, cá nhân là bên Việt Nam khấu trừ, nộp thay thuế giá trị gia tăng, thuế thu nhập doanh nghiệp của nhà thầu nước ngoài theo quy định của pháp luật thuế và thực hiện khai thuế theo tháng mà trong tháng đó không phát sinh việc khấu trừ thuế.</w:t>
      </w:r>
    </w:p>
    <w:p w14:paraId="27A6733E"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lastRenderedPageBreak/>
        <w:t>9. Người nộp thuế thuộc diện được hoàn thuế theo quy định của pháp luật về thuế giá trị gia tăng không phải nộp hồ sơ khai thuế giá trị gia tăng trong các trường hợp sau:</w:t>
      </w:r>
    </w:p>
    <w:p w14:paraId="379FCD3E"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a) Chủ chương trình, dự án hoặc nhà thầu chính (bao gồm cả văn phòng điều hành của nhà thầu chính tại Việt Nam), tổ chức do phía nhà tài trợ nước ngoài chỉ định việc quản lý chương trình, dự án sử dụng vốn Hỗ trợ Phát triển Chính thức (ODA) không hoàn lại (bao gồm cả văn phòng điều hành của nhà tài trợ hoặc tổ chức quản lý, thực hiện chương trình, dự án do nhà tài trợ chỉ định);</w:t>
      </w:r>
    </w:p>
    <w:p w14:paraId="08919473"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b) Tổ chức ở Việt Nam sử dụng tiền viện trợ không hoàn lại, tiền viện trợ nhân đạo của tổ chức, cá nhân nước ngoài để mua hàng hóa, dịch vụ phục vụ cho chương trình, dự án viện trợ không hoàn lại, viện trợ nhân đạo tại Việt Nam;</w:t>
      </w:r>
    </w:p>
    <w:p w14:paraId="53F8B9D9"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c) Tổ chức, cá nhân được hưởng quyền ưu đãi miễn trừ ngoại giao theo quy định của pháp luật về ngoại giao mua hàng hóa, dịch vụ tại Việt Nam.</w:t>
      </w:r>
    </w:p>
    <w:p w14:paraId="07FE8AE8"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10. Trường hợp việc tính thuế, khoản thu khác, thông báo thuế, khoản thu khác do cơ quan thuế thực hiện mà cơ quan thuế đã kết nối, chia sẻ, sử dụng được thông tin có trong cơ sở dữ liệu quốc gia, cơ sở dữ liệu của cơ quan nhà nước có thẩm quyền, Hệ thống thông tin quản lý thuế hoặc hồ sơ xác định nghĩa vụ tài chính, phiếu chuyển thông tin do cơ quan có thẩm quyền chuyển đến và các thông tin, dữ liệu này bảo đảm đủ căn cứ để tính thuế, khoản thu khác theo quy định thì người nộp thuế không phải nộp hồ sơ khai thuế, khoản thu khác, trừ trường hợp người nộp thuế có đề nghị miễn, giảm trên hồ sơ khai thuế, khoản thu khác.</w:t>
      </w:r>
    </w:p>
    <w:p w14:paraId="4B23AE49"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Cơ quan thuế công bố công khai trên Hệ thống thông tin quản lý thuế các loại hồ sơ khai thuế, khoản thu khác đủ điều kiện thực hiện theo quy định tại khoản này.</w:t>
      </w:r>
    </w:p>
    <w:p w14:paraId="32E215B7"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11. Bên Việt Nam phát sinh việc trả thu nhập cho tổ chức, cá nhân nước ngoài từ đầu tư trái phiếu quốc tế của Chính phủ Việt Nam, từ các khoản cho vay đối với Nhà nước, Chính phủ Việt Nam thuộc trường hợp không chịu thuế giá trị gia tăng và miễn thuế thu nhập doanh nghiệp theo quy định của pháp luật thuế thì không phải nộp hồ sơ khai thuế.</w:t>
      </w:r>
    </w:p>
    <w:p w14:paraId="2667D63D"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12. Tổ chức thu phí, lệ phí không phải khai phí, lệ phí theo quy định của pháp luật phí, lệ phí thì không phải nộp hồ sơ khai phí, lệ phí.</w:t>
      </w:r>
    </w:p>
    <w:p w14:paraId="7892A3F2" w14:textId="77777777" w:rsidR="00891EEB" w:rsidRDefault="00891EEB" w:rsidP="00891EEB">
      <w:pPr>
        <w:pStyle w:val="NormalWeb"/>
        <w:spacing w:before="120" w:beforeAutospacing="0" w:after="120" w:afterAutospacing="0" w:line="276" w:lineRule="auto"/>
        <w:rPr>
          <w:rFonts w:ascii="Arial" w:hAnsi="Arial" w:cs="Arial"/>
          <w:color w:val="222222"/>
        </w:rPr>
      </w:pPr>
      <w:r>
        <w:rPr>
          <w:rFonts w:ascii="Arial" w:hAnsi="Arial" w:cs="Arial"/>
          <w:color w:val="222222"/>
        </w:rPr>
        <w:t>13. Tổ chức, cá nhân được miễn thuế tài nguyên không thuộc trường hợp cơ quan thuế thông báo, quyết định miễn, giảm thuế theo hướng dẫn của Bộ trưởng Bộ Tài chính thì không phải nộp hồ sơ khai thuế tài nguyên.</w:t>
      </w:r>
    </w:p>
    <w:p w14:paraId="2CA86730" w14:textId="77777777" w:rsidR="00891EEB" w:rsidRDefault="00891EEB" w:rsidP="00891EEB">
      <w:pPr>
        <w:spacing w:before="120" w:after="120" w:line="276" w:lineRule="auto"/>
      </w:pPr>
    </w:p>
    <w:sectPr w:rsidR="00891EEB" w:rsidSect="00D901A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EEB"/>
    <w:rsid w:val="00891EEB"/>
    <w:rsid w:val="00D90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B54FB8"/>
  <w15:chartTrackingRefBased/>
  <w15:docId w15:val="{094ECBAC-3FFC-0440-912B-840A93B42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1EE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91E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989506">
      <w:bodyDiv w:val="1"/>
      <w:marLeft w:val="0"/>
      <w:marRight w:val="0"/>
      <w:marTop w:val="0"/>
      <w:marBottom w:val="0"/>
      <w:divBdr>
        <w:top w:val="none" w:sz="0" w:space="0" w:color="auto"/>
        <w:left w:val="none" w:sz="0" w:space="0" w:color="auto"/>
        <w:bottom w:val="none" w:sz="0" w:space="0" w:color="auto"/>
        <w:right w:val="none" w:sz="0" w:space="0" w:color="auto"/>
      </w:divBdr>
      <w:divsChild>
        <w:div w:id="1838302518">
          <w:marLeft w:val="0"/>
          <w:marRight w:val="0"/>
          <w:marTop w:val="120"/>
          <w:marBottom w:val="120"/>
          <w:divBdr>
            <w:top w:val="none" w:sz="0" w:space="0" w:color="auto"/>
            <w:left w:val="none" w:sz="0" w:space="0" w:color="auto"/>
            <w:bottom w:val="none" w:sz="0" w:space="0" w:color="auto"/>
            <w:right w:val="none" w:sz="0" w:space="0" w:color="auto"/>
          </w:divBdr>
          <w:divsChild>
            <w:div w:id="249656381">
              <w:marLeft w:val="0"/>
              <w:marRight w:val="0"/>
              <w:marTop w:val="0"/>
              <w:marBottom w:val="0"/>
              <w:divBdr>
                <w:top w:val="none" w:sz="0" w:space="0" w:color="auto"/>
                <w:left w:val="none" w:sz="0" w:space="0" w:color="auto"/>
                <w:bottom w:val="none" w:sz="0" w:space="0" w:color="auto"/>
                <w:right w:val="none" w:sz="0" w:space="0" w:color="auto"/>
              </w:divBdr>
            </w:div>
          </w:divsChild>
        </w:div>
        <w:div w:id="992029604">
          <w:marLeft w:val="0"/>
          <w:marRight w:val="0"/>
          <w:marTop w:val="120"/>
          <w:marBottom w:val="120"/>
          <w:divBdr>
            <w:top w:val="none" w:sz="0" w:space="0" w:color="auto"/>
            <w:left w:val="none" w:sz="0" w:space="0" w:color="auto"/>
            <w:bottom w:val="none" w:sz="0" w:space="0" w:color="auto"/>
            <w:right w:val="none" w:sz="0" w:space="0" w:color="auto"/>
          </w:divBdr>
          <w:divsChild>
            <w:div w:id="963969102">
              <w:marLeft w:val="0"/>
              <w:marRight w:val="0"/>
              <w:marTop w:val="0"/>
              <w:marBottom w:val="0"/>
              <w:divBdr>
                <w:top w:val="none" w:sz="0" w:space="0" w:color="auto"/>
                <w:left w:val="none" w:sz="0" w:space="0" w:color="auto"/>
                <w:bottom w:val="none" w:sz="0" w:space="0" w:color="auto"/>
                <w:right w:val="none" w:sz="0" w:space="0" w:color="auto"/>
              </w:divBdr>
            </w:div>
          </w:divsChild>
        </w:div>
        <w:div w:id="642849326">
          <w:marLeft w:val="0"/>
          <w:marRight w:val="0"/>
          <w:marTop w:val="120"/>
          <w:marBottom w:val="120"/>
          <w:divBdr>
            <w:top w:val="none" w:sz="0" w:space="0" w:color="auto"/>
            <w:left w:val="none" w:sz="0" w:space="0" w:color="auto"/>
            <w:bottom w:val="none" w:sz="0" w:space="0" w:color="auto"/>
            <w:right w:val="none" w:sz="0" w:space="0" w:color="auto"/>
          </w:divBdr>
          <w:divsChild>
            <w:div w:id="1182477549">
              <w:marLeft w:val="0"/>
              <w:marRight w:val="0"/>
              <w:marTop w:val="0"/>
              <w:marBottom w:val="0"/>
              <w:divBdr>
                <w:top w:val="none" w:sz="0" w:space="0" w:color="auto"/>
                <w:left w:val="none" w:sz="0" w:space="0" w:color="auto"/>
                <w:bottom w:val="none" w:sz="0" w:space="0" w:color="auto"/>
                <w:right w:val="none" w:sz="0" w:space="0" w:color="auto"/>
              </w:divBdr>
            </w:div>
          </w:divsChild>
        </w:div>
        <w:div w:id="942342990">
          <w:marLeft w:val="0"/>
          <w:marRight w:val="0"/>
          <w:marTop w:val="120"/>
          <w:marBottom w:val="120"/>
          <w:divBdr>
            <w:top w:val="none" w:sz="0" w:space="0" w:color="auto"/>
            <w:left w:val="none" w:sz="0" w:space="0" w:color="auto"/>
            <w:bottom w:val="none" w:sz="0" w:space="0" w:color="auto"/>
            <w:right w:val="none" w:sz="0" w:space="0" w:color="auto"/>
          </w:divBdr>
          <w:divsChild>
            <w:div w:id="1667708149">
              <w:marLeft w:val="0"/>
              <w:marRight w:val="0"/>
              <w:marTop w:val="0"/>
              <w:marBottom w:val="0"/>
              <w:divBdr>
                <w:top w:val="none" w:sz="0" w:space="0" w:color="auto"/>
                <w:left w:val="none" w:sz="0" w:space="0" w:color="auto"/>
                <w:bottom w:val="none" w:sz="0" w:space="0" w:color="auto"/>
                <w:right w:val="none" w:sz="0" w:space="0" w:color="auto"/>
              </w:divBdr>
            </w:div>
          </w:divsChild>
        </w:div>
        <w:div w:id="1087507232">
          <w:marLeft w:val="0"/>
          <w:marRight w:val="0"/>
          <w:marTop w:val="120"/>
          <w:marBottom w:val="120"/>
          <w:divBdr>
            <w:top w:val="none" w:sz="0" w:space="0" w:color="auto"/>
            <w:left w:val="none" w:sz="0" w:space="0" w:color="auto"/>
            <w:bottom w:val="none" w:sz="0" w:space="0" w:color="auto"/>
            <w:right w:val="none" w:sz="0" w:space="0" w:color="auto"/>
          </w:divBdr>
          <w:divsChild>
            <w:div w:id="1149442545">
              <w:marLeft w:val="0"/>
              <w:marRight w:val="0"/>
              <w:marTop w:val="0"/>
              <w:marBottom w:val="0"/>
              <w:divBdr>
                <w:top w:val="none" w:sz="0" w:space="0" w:color="auto"/>
                <w:left w:val="none" w:sz="0" w:space="0" w:color="auto"/>
                <w:bottom w:val="none" w:sz="0" w:space="0" w:color="auto"/>
                <w:right w:val="none" w:sz="0" w:space="0" w:color="auto"/>
              </w:divBdr>
            </w:div>
          </w:divsChild>
        </w:div>
        <w:div w:id="838546385">
          <w:marLeft w:val="0"/>
          <w:marRight w:val="0"/>
          <w:marTop w:val="120"/>
          <w:marBottom w:val="120"/>
          <w:divBdr>
            <w:top w:val="none" w:sz="0" w:space="0" w:color="auto"/>
            <w:left w:val="none" w:sz="0" w:space="0" w:color="auto"/>
            <w:bottom w:val="none" w:sz="0" w:space="0" w:color="auto"/>
            <w:right w:val="none" w:sz="0" w:space="0" w:color="auto"/>
          </w:divBdr>
          <w:divsChild>
            <w:div w:id="1342076731">
              <w:marLeft w:val="0"/>
              <w:marRight w:val="0"/>
              <w:marTop w:val="0"/>
              <w:marBottom w:val="0"/>
              <w:divBdr>
                <w:top w:val="none" w:sz="0" w:space="0" w:color="auto"/>
                <w:left w:val="none" w:sz="0" w:space="0" w:color="auto"/>
                <w:bottom w:val="none" w:sz="0" w:space="0" w:color="auto"/>
                <w:right w:val="none" w:sz="0" w:space="0" w:color="auto"/>
              </w:divBdr>
            </w:div>
          </w:divsChild>
        </w:div>
        <w:div w:id="1982609872">
          <w:marLeft w:val="0"/>
          <w:marRight w:val="0"/>
          <w:marTop w:val="120"/>
          <w:marBottom w:val="120"/>
          <w:divBdr>
            <w:top w:val="none" w:sz="0" w:space="0" w:color="auto"/>
            <w:left w:val="none" w:sz="0" w:space="0" w:color="auto"/>
            <w:bottom w:val="none" w:sz="0" w:space="0" w:color="auto"/>
            <w:right w:val="none" w:sz="0" w:space="0" w:color="auto"/>
          </w:divBdr>
          <w:divsChild>
            <w:div w:id="2120442660">
              <w:marLeft w:val="0"/>
              <w:marRight w:val="0"/>
              <w:marTop w:val="0"/>
              <w:marBottom w:val="0"/>
              <w:divBdr>
                <w:top w:val="none" w:sz="0" w:space="0" w:color="auto"/>
                <w:left w:val="none" w:sz="0" w:space="0" w:color="auto"/>
                <w:bottom w:val="none" w:sz="0" w:space="0" w:color="auto"/>
                <w:right w:val="none" w:sz="0" w:space="0" w:color="auto"/>
              </w:divBdr>
            </w:div>
          </w:divsChild>
        </w:div>
        <w:div w:id="3362453">
          <w:marLeft w:val="0"/>
          <w:marRight w:val="0"/>
          <w:marTop w:val="120"/>
          <w:marBottom w:val="120"/>
          <w:divBdr>
            <w:top w:val="none" w:sz="0" w:space="0" w:color="auto"/>
            <w:left w:val="none" w:sz="0" w:space="0" w:color="auto"/>
            <w:bottom w:val="none" w:sz="0" w:space="0" w:color="auto"/>
            <w:right w:val="none" w:sz="0" w:space="0" w:color="auto"/>
          </w:divBdr>
          <w:divsChild>
            <w:div w:id="181941241">
              <w:marLeft w:val="0"/>
              <w:marRight w:val="0"/>
              <w:marTop w:val="0"/>
              <w:marBottom w:val="0"/>
              <w:divBdr>
                <w:top w:val="none" w:sz="0" w:space="0" w:color="auto"/>
                <w:left w:val="none" w:sz="0" w:space="0" w:color="auto"/>
                <w:bottom w:val="none" w:sz="0" w:space="0" w:color="auto"/>
                <w:right w:val="none" w:sz="0" w:space="0" w:color="auto"/>
              </w:divBdr>
            </w:div>
          </w:divsChild>
        </w:div>
        <w:div w:id="1527057630">
          <w:marLeft w:val="0"/>
          <w:marRight w:val="0"/>
          <w:marTop w:val="120"/>
          <w:marBottom w:val="120"/>
          <w:divBdr>
            <w:top w:val="none" w:sz="0" w:space="0" w:color="auto"/>
            <w:left w:val="none" w:sz="0" w:space="0" w:color="auto"/>
            <w:bottom w:val="none" w:sz="0" w:space="0" w:color="auto"/>
            <w:right w:val="none" w:sz="0" w:space="0" w:color="auto"/>
          </w:divBdr>
          <w:divsChild>
            <w:div w:id="1530141016">
              <w:marLeft w:val="0"/>
              <w:marRight w:val="0"/>
              <w:marTop w:val="0"/>
              <w:marBottom w:val="0"/>
              <w:divBdr>
                <w:top w:val="none" w:sz="0" w:space="0" w:color="auto"/>
                <w:left w:val="none" w:sz="0" w:space="0" w:color="auto"/>
                <w:bottom w:val="none" w:sz="0" w:space="0" w:color="auto"/>
                <w:right w:val="none" w:sz="0" w:space="0" w:color="auto"/>
              </w:divBdr>
            </w:div>
          </w:divsChild>
        </w:div>
        <w:div w:id="617447090">
          <w:marLeft w:val="0"/>
          <w:marRight w:val="0"/>
          <w:marTop w:val="120"/>
          <w:marBottom w:val="120"/>
          <w:divBdr>
            <w:top w:val="none" w:sz="0" w:space="0" w:color="auto"/>
            <w:left w:val="none" w:sz="0" w:space="0" w:color="auto"/>
            <w:bottom w:val="none" w:sz="0" w:space="0" w:color="auto"/>
            <w:right w:val="none" w:sz="0" w:space="0" w:color="auto"/>
          </w:divBdr>
          <w:divsChild>
            <w:div w:id="1041591194">
              <w:marLeft w:val="0"/>
              <w:marRight w:val="0"/>
              <w:marTop w:val="0"/>
              <w:marBottom w:val="0"/>
              <w:divBdr>
                <w:top w:val="none" w:sz="0" w:space="0" w:color="auto"/>
                <w:left w:val="none" w:sz="0" w:space="0" w:color="auto"/>
                <w:bottom w:val="none" w:sz="0" w:space="0" w:color="auto"/>
                <w:right w:val="none" w:sz="0" w:space="0" w:color="auto"/>
              </w:divBdr>
            </w:div>
          </w:divsChild>
        </w:div>
        <w:div w:id="708458099">
          <w:marLeft w:val="0"/>
          <w:marRight w:val="0"/>
          <w:marTop w:val="120"/>
          <w:marBottom w:val="120"/>
          <w:divBdr>
            <w:top w:val="none" w:sz="0" w:space="0" w:color="auto"/>
            <w:left w:val="none" w:sz="0" w:space="0" w:color="auto"/>
            <w:bottom w:val="none" w:sz="0" w:space="0" w:color="auto"/>
            <w:right w:val="none" w:sz="0" w:space="0" w:color="auto"/>
          </w:divBdr>
          <w:divsChild>
            <w:div w:id="526067232">
              <w:marLeft w:val="0"/>
              <w:marRight w:val="0"/>
              <w:marTop w:val="0"/>
              <w:marBottom w:val="0"/>
              <w:divBdr>
                <w:top w:val="none" w:sz="0" w:space="0" w:color="auto"/>
                <w:left w:val="none" w:sz="0" w:space="0" w:color="auto"/>
                <w:bottom w:val="none" w:sz="0" w:space="0" w:color="auto"/>
                <w:right w:val="none" w:sz="0" w:space="0" w:color="auto"/>
              </w:divBdr>
            </w:div>
          </w:divsChild>
        </w:div>
        <w:div w:id="46340629">
          <w:marLeft w:val="0"/>
          <w:marRight w:val="0"/>
          <w:marTop w:val="120"/>
          <w:marBottom w:val="120"/>
          <w:divBdr>
            <w:top w:val="none" w:sz="0" w:space="0" w:color="auto"/>
            <w:left w:val="none" w:sz="0" w:space="0" w:color="auto"/>
            <w:bottom w:val="none" w:sz="0" w:space="0" w:color="auto"/>
            <w:right w:val="none" w:sz="0" w:space="0" w:color="auto"/>
          </w:divBdr>
          <w:divsChild>
            <w:div w:id="1934824836">
              <w:marLeft w:val="0"/>
              <w:marRight w:val="0"/>
              <w:marTop w:val="0"/>
              <w:marBottom w:val="0"/>
              <w:divBdr>
                <w:top w:val="none" w:sz="0" w:space="0" w:color="auto"/>
                <w:left w:val="none" w:sz="0" w:space="0" w:color="auto"/>
                <w:bottom w:val="none" w:sz="0" w:space="0" w:color="auto"/>
                <w:right w:val="none" w:sz="0" w:space="0" w:color="auto"/>
              </w:divBdr>
            </w:div>
          </w:divsChild>
        </w:div>
        <w:div w:id="80028073">
          <w:marLeft w:val="0"/>
          <w:marRight w:val="0"/>
          <w:marTop w:val="120"/>
          <w:marBottom w:val="120"/>
          <w:divBdr>
            <w:top w:val="none" w:sz="0" w:space="0" w:color="auto"/>
            <w:left w:val="none" w:sz="0" w:space="0" w:color="auto"/>
            <w:bottom w:val="none" w:sz="0" w:space="0" w:color="auto"/>
            <w:right w:val="none" w:sz="0" w:space="0" w:color="auto"/>
          </w:divBdr>
          <w:divsChild>
            <w:div w:id="484011513">
              <w:marLeft w:val="0"/>
              <w:marRight w:val="0"/>
              <w:marTop w:val="0"/>
              <w:marBottom w:val="0"/>
              <w:divBdr>
                <w:top w:val="none" w:sz="0" w:space="0" w:color="auto"/>
                <w:left w:val="none" w:sz="0" w:space="0" w:color="auto"/>
                <w:bottom w:val="none" w:sz="0" w:space="0" w:color="auto"/>
                <w:right w:val="none" w:sz="0" w:space="0" w:color="auto"/>
              </w:divBdr>
            </w:div>
          </w:divsChild>
        </w:div>
        <w:div w:id="337075778">
          <w:marLeft w:val="0"/>
          <w:marRight w:val="0"/>
          <w:marTop w:val="120"/>
          <w:marBottom w:val="120"/>
          <w:divBdr>
            <w:top w:val="none" w:sz="0" w:space="0" w:color="auto"/>
            <w:left w:val="none" w:sz="0" w:space="0" w:color="auto"/>
            <w:bottom w:val="none" w:sz="0" w:space="0" w:color="auto"/>
            <w:right w:val="none" w:sz="0" w:space="0" w:color="auto"/>
          </w:divBdr>
          <w:divsChild>
            <w:div w:id="1487208749">
              <w:marLeft w:val="0"/>
              <w:marRight w:val="0"/>
              <w:marTop w:val="0"/>
              <w:marBottom w:val="0"/>
              <w:divBdr>
                <w:top w:val="none" w:sz="0" w:space="0" w:color="auto"/>
                <w:left w:val="none" w:sz="0" w:space="0" w:color="auto"/>
                <w:bottom w:val="none" w:sz="0" w:space="0" w:color="auto"/>
                <w:right w:val="none" w:sz="0" w:space="0" w:color="auto"/>
              </w:divBdr>
            </w:div>
          </w:divsChild>
        </w:div>
        <w:div w:id="1340155950">
          <w:marLeft w:val="0"/>
          <w:marRight w:val="0"/>
          <w:marTop w:val="120"/>
          <w:marBottom w:val="120"/>
          <w:divBdr>
            <w:top w:val="none" w:sz="0" w:space="0" w:color="auto"/>
            <w:left w:val="none" w:sz="0" w:space="0" w:color="auto"/>
            <w:bottom w:val="none" w:sz="0" w:space="0" w:color="auto"/>
            <w:right w:val="none" w:sz="0" w:space="0" w:color="auto"/>
          </w:divBdr>
          <w:divsChild>
            <w:div w:id="509567318">
              <w:marLeft w:val="0"/>
              <w:marRight w:val="0"/>
              <w:marTop w:val="0"/>
              <w:marBottom w:val="0"/>
              <w:divBdr>
                <w:top w:val="none" w:sz="0" w:space="0" w:color="auto"/>
                <w:left w:val="none" w:sz="0" w:space="0" w:color="auto"/>
                <w:bottom w:val="none" w:sz="0" w:space="0" w:color="auto"/>
                <w:right w:val="none" w:sz="0" w:space="0" w:color="auto"/>
              </w:divBdr>
            </w:div>
          </w:divsChild>
        </w:div>
        <w:div w:id="1326738857">
          <w:marLeft w:val="0"/>
          <w:marRight w:val="0"/>
          <w:marTop w:val="120"/>
          <w:marBottom w:val="120"/>
          <w:divBdr>
            <w:top w:val="none" w:sz="0" w:space="0" w:color="auto"/>
            <w:left w:val="none" w:sz="0" w:space="0" w:color="auto"/>
            <w:bottom w:val="none" w:sz="0" w:space="0" w:color="auto"/>
            <w:right w:val="none" w:sz="0" w:space="0" w:color="auto"/>
          </w:divBdr>
          <w:divsChild>
            <w:div w:id="175462134">
              <w:marLeft w:val="0"/>
              <w:marRight w:val="0"/>
              <w:marTop w:val="0"/>
              <w:marBottom w:val="0"/>
              <w:divBdr>
                <w:top w:val="none" w:sz="0" w:space="0" w:color="auto"/>
                <w:left w:val="none" w:sz="0" w:space="0" w:color="auto"/>
                <w:bottom w:val="none" w:sz="0" w:space="0" w:color="auto"/>
                <w:right w:val="none" w:sz="0" w:space="0" w:color="auto"/>
              </w:divBdr>
            </w:div>
          </w:divsChild>
        </w:div>
        <w:div w:id="348726145">
          <w:marLeft w:val="0"/>
          <w:marRight w:val="0"/>
          <w:marTop w:val="120"/>
          <w:marBottom w:val="120"/>
          <w:divBdr>
            <w:top w:val="none" w:sz="0" w:space="0" w:color="auto"/>
            <w:left w:val="none" w:sz="0" w:space="0" w:color="auto"/>
            <w:bottom w:val="none" w:sz="0" w:space="0" w:color="auto"/>
            <w:right w:val="none" w:sz="0" w:space="0" w:color="auto"/>
          </w:divBdr>
          <w:divsChild>
            <w:div w:id="41401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uatvietnam.vn/thue/nghi-dinh-141-2026-nd-cp-sua-doi-chinh-sach-thue-cho-ho-kinh-doanh-va-ca-nhan-kinh-doanh-433387-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783</Words>
  <Characters>4464</Characters>
  <Application>Microsoft Office Word</Application>
  <DocSecurity>0</DocSecurity>
  <Lines>37</Lines>
  <Paragraphs>10</Paragraphs>
  <ScaleCrop>false</ScaleCrop>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2026-10-27T16:06:00Z</dcterms:created>
  <dcterms:modified xsi:type="dcterms:W3CDTF">2026-10-27T16:07:00Z</dcterms:modified>
</cp:coreProperties>
</file>